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70" w:type="dxa"/>
        </w:tblCellMar>
        <w:tblLook w:val="0000" w:firstRow="0" w:lastRow="0" w:firstColumn="0" w:lastColumn="0" w:noHBand="0" w:noVBand="0"/>
      </w:tblPr>
      <w:tblGrid>
        <w:gridCol w:w="2863"/>
        <w:gridCol w:w="259"/>
        <w:gridCol w:w="2934"/>
        <w:gridCol w:w="255"/>
        <w:gridCol w:w="2935"/>
      </w:tblGrid>
      <w:tr w:rsidR="001D02F7" w:rsidRPr="001D02F7" w:rsidTr="00A90C3B">
        <w:trPr>
          <w:trHeight w:val="955"/>
        </w:trPr>
        <w:tc>
          <w:tcPr>
            <w:tcW w:w="6056" w:type="dxa"/>
            <w:gridSpan w:val="3"/>
          </w:tcPr>
          <w:p w:rsidR="001D02F7" w:rsidRPr="001D02F7" w:rsidRDefault="001D02F7" w:rsidP="0083200E">
            <w:pPr>
              <w:spacing w:after="0" w:line="276" w:lineRule="auto"/>
              <w:contextualSpacing w:val="0"/>
              <w:rPr>
                <w:rFonts w:eastAsia="Times New Roman"/>
              </w:rPr>
            </w:pPr>
          </w:p>
        </w:tc>
        <w:tc>
          <w:tcPr>
            <w:tcW w:w="255" w:type="dxa"/>
          </w:tcPr>
          <w:p w:rsidR="001D02F7" w:rsidRPr="001D02F7" w:rsidRDefault="001D02F7" w:rsidP="0083200E">
            <w:pPr>
              <w:spacing w:after="0" w:line="276" w:lineRule="auto"/>
              <w:contextualSpacing w:val="0"/>
              <w:rPr>
                <w:rFonts w:eastAsia="Times New Roman"/>
              </w:rPr>
            </w:pPr>
          </w:p>
        </w:tc>
        <w:tc>
          <w:tcPr>
            <w:tcW w:w="2935" w:type="dxa"/>
            <w:vAlign w:val="bottom"/>
          </w:tcPr>
          <w:p w:rsidR="001D02F7" w:rsidRPr="001D02F7" w:rsidRDefault="001D02F7" w:rsidP="0083200E">
            <w:pPr>
              <w:spacing w:after="0" w:line="276" w:lineRule="auto"/>
              <w:contextualSpacing w:val="0"/>
              <w:rPr>
                <w:rFonts w:eastAsia="Times New Roman"/>
                <w:b/>
                <w:i/>
                <w:sz w:val="34"/>
              </w:rPr>
            </w:pPr>
          </w:p>
        </w:tc>
      </w:tr>
      <w:tr w:rsidR="001D02F7" w:rsidRPr="001D02F7" w:rsidTr="00A90C3B">
        <w:trPr>
          <w:trHeight w:val="283"/>
        </w:trPr>
        <w:tc>
          <w:tcPr>
            <w:tcW w:w="6056" w:type="dxa"/>
            <w:gridSpan w:val="3"/>
          </w:tcPr>
          <w:p w:rsidR="001D02F7" w:rsidRPr="001D02F7" w:rsidRDefault="001D02F7" w:rsidP="0083200E">
            <w:pPr>
              <w:pStyle w:val="GDASubreferentiekop"/>
              <w:spacing w:line="276" w:lineRule="auto"/>
            </w:pPr>
          </w:p>
        </w:tc>
        <w:tc>
          <w:tcPr>
            <w:tcW w:w="255" w:type="dxa"/>
          </w:tcPr>
          <w:p w:rsidR="001D02F7" w:rsidRPr="001D02F7" w:rsidRDefault="001D02F7" w:rsidP="0083200E">
            <w:pPr>
              <w:pStyle w:val="GDASubreferentiekop"/>
              <w:spacing w:line="276" w:lineRule="auto"/>
            </w:pPr>
          </w:p>
        </w:tc>
        <w:tc>
          <w:tcPr>
            <w:tcW w:w="2935" w:type="dxa"/>
          </w:tcPr>
          <w:p w:rsidR="001D02F7" w:rsidRPr="001D02F7" w:rsidRDefault="001D02F7" w:rsidP="0083200E">
            <w:pPr>
              <w:pStyle w:val="GDASubreferentiekop"/>
              <w:spacing w:line="276" w:lineRule="auto"/>
            </w:pPr>
          </w:p>
        </w:tc>
      </w:tr>
      <w:tr w:rsidR="001D02F7" w:rsidRPr="001D02F7" w:rsidTr="00A90C3B">
        <w:trPr>
          <w:trHeight w:val="278"/>
        </w:trPr>
        <w:tc>
          <w:tcPr>
            <w:tcW w:w="2863" w:type="dxa"/>
          </w:tcPr>
          <w:p w:rsidR="001D02F7" w:rsidRPr="001D02F7" w:rsidRDefault="001D02F7" w:rsidP="0083200E">
            <w:pPr>
              <w:pStyle w:val="GDASubreferentiekop"/>
              <w:spacing w:line="276" w:lineRule="auto"/>
            </w:pPr>
          </w:p>
        </w:tc>
        <w:tc>
          <w:tcPr>
            <w:tcW w:w="259" w:type="dxa"/>
          </w:tcPr>
          <w:p w:rsidR="001D02F7" w:rsidRPr="001D02F7" w:rsidRDefault="001D02F7" w:rsidP="0083200E">
            <w:pPr>
              <w:pStyle w:val="GDASubreferentiekop"/>
              <w:spacing w:line="276" w:lineRule="auto"/>
            </w:pPr>
          </w:p>
        </w:tc>
        <w:tc>
          <w:tcPr>
            <w:tcW w:w="2934" w:type="dxa"/>
            <w:vAlign w:val="bottom"/>
          </w:tcPr>
          <w:p w:rsidR="001D02F7" w:rsidRPr="001D02F7" w:rsidRDefault="001D02F7" w:rsidP="0083200E">
            <w:pPr>
              <w:pStyle w:val="GDASubreferentiekop"/>
              <w:spacing w:line="276" w:lineRule="auto"/>
            </w:pPr>
          </w:p>
        </w:tc>
        <w:tc>
          <w:tcPr>
            <w:tcW w:w="255" w:type="dxa"/>
          </w:tcPr>
          <w:p w:rsidR="001D02F7" w:rsidRPr="001D02F7" w:rsidRDefault="001D02F7" w:rsidP="0083200E">
            <w:pPr>
              <w:pStyle w:val="GDASubreferentiekop"/>
              <w:spacing w:line="276" w:lineRule="auto"/>
            </w:pPr>
          </w:p>
        </w:tc>
        <w:tc>
          <w:tcPr>
            <w:tcW w:w="2935" w:type="dxa"/>
          </w:tcPr>
          <w:p w:rsidR="001D02F7" w:rsidRPr="001D02F7" w:rsidRDefault="001D02F7" w:rsidP="0083200E">
            <w:pPr>
              <w:pStyle w:val="GDASubreferentiekop"/>
              <w:spacing w:line="276" w:lineRule="auto"/>
            </w:pPr>
          </w:p>
        </w:tc>
      </w:tr>
      <w:tr w:rsidR="001D02F7" w:rsidRPr="001D02F7" w:rsidTr="00A90C3B">
        <w:trPr>
          <w:trHeight w:val="278"/>
        </w:trPr>
        <w:tc>
          <w:tcPr>
            <w:tcW w:w="2863" w:type="dxa"/>
          </w:tcPr>
          <w:p w:rsidR="001D02F7" w:rsidRPr="001D02F7" w:rsidRDefault="001D02F7" w:rsidP="0083200E">
            <w:pPr>
              <w:pStyle w:val="GDASubreferentiekop"/>
              <w:spacing w:line="276" w:lineRule="auto"/>
            </w:pPr>
          </w:p>
        </w:tc>
        <w:tc>
          <w:tcPr>
            <w:tcW w:w="259" w:type="dxa"/>
          </w:tcPr>
          <w:p w:rsidR="001D02F7" w:rsidRPr="001D02F7" w:rsidRDefault="001D02F7" w:rsidP="0083200E">
            <w:pPr>
              <w:pStyle w:val="GDASubreferentiekop"/>
              <w:spacing w:line="276" w:lineRule="auto"/>
            </w:pPr>
          </w:p>
        </w:tc>
        <w:tc>
          <w:tcPr>
            <w:tcW w:w="2934" w:type="dxa"/>
            <w:vAlign w:val="bottom"/>
          </w:tcPr>
          <w:p w:rsidR="001D02F7" w:rsidRPr="001D02F7" w:rsidRDefault="001D02F7" w:rsidP="0083200E">
            <w:pPr>
              <w:pStyle w:val="GDASubreferentiekop"/>
              <w:spacing w:line="276" w:lineRule="auto"/>
            </w:pPr>
          </w:p>
        </w:tc>
        <w:tc>
          <w:tcPr>
            <w:tcW w:w="255" w:type="dxa"/>
          </w:tcPr>
          <w:p w:rsidR="001D02F7" w:rsidRPr="001D02F7" w:rsidRDefault="001D02F7" w:rsidP="0083200E">
            <w:pPr>
              <w:pStyle w:val="GDASubreferentiekop"/>
              <w:spacing w:line="276" w:lineRule="auto"/>
            </w:pPr>
          </w:p>
        </w:tc>
        <w:tc>
          <w:tcPr>
            <w:tcW w:w="2935" w:type="dxa"/>
          </w:tcPr>
          <w:p w:rsidR="001D02F7" w:rsidRPr="001D02F7" w:rsidRDefault="001D02F7" w:rsidP="0083200E">
            <w:pPr>
              <w:pStyle w:val="GDASubreferentiekop"/>
              <w:spacing w:line="276" w:lineRule="auto"/>
            </w:pPr>
          </w:p>
        </w:tc>
      </w:tr>
      <w:tr w:rsidR="001D02F7" w:rsidRPr="001D02F7" w:rsidTr="00A90C3B">
        <w:trPr>
          <w:trHeight w:hRule="exact" w:val="2268"/>
        </w:trPr>
        <w:tc>
          <w:tcPr>
            <w:tcW w:w="9246" w:type="dxa"/>
            <w:gridSpan w:val="5"/>
          </w:tcPr>
          <w:p w:rsidR="001D02F7" w:rsidRPr="001D02F7" w:rsidRDefault="001D02F7" w:rsidP="0083200E">
            <w:pPr>
              <w:pStyle w:val="GDAReferentieadres"/>
              <w:spacing w:line="276" w:lineRule="auto"/>
            </w:pPr>
            <w:r w:rsidRPr="001D02F7">
              <w:t xml:space="preserve">Goudse Adviesraad Sociaal Domein </w:t>
            </w:r>
          </w:p>
          <w:p w:rsidR="001D02F7" w:rsidRPr="001D02F7" w:rsidRDefault="001D02F7" w:rsidP="0083200E">
            <w:pPr>
              <w:pStyle w:val="GDAReferentieadres"/>
              <w:spacing w:line="276" w:lineRule="auto"/>
            </w:pPr>
            <w:r w:rsidRPr="001D02F7">
              <w:t>t.a.v. A. Huisman-Mak</w:t>
            </w:r>
          </w:p>
          <w:p w:rsidR="001D02F7" w:rsidRPr="001D02F7" w:rsidRDefault="001D02F7" w:rsidP="0083200E">
            <w:pPr>
              <w:pStyle w:val="GDAReferentieadres"/>
              <w:spacing w:line="276" w:lineRule="auto"/>
            </w:pPr>
            <w:r w:rsidRPr="001D02F7">
              <w:t xml:space="preserve">Postbus 265 </w:t>
            </w:r>
          </w:p>
          <w:p w:rsidR="001D02F7" w:rsidRPr="001D02F7" w:rsidRDefault="001D02F7" w:rsidP="0083200E">
            <w:pPr>
              <w:pStyle w:val="GDAReferentieadres"/>
              <w:spacing w:line="276" w:lineRule="auto"/>
            </w:pPr>
            <w:r w:rsidRPr="001D02F7">
              <w:t xml:space="preserve">2800AG Gouda </w:t>
            </w:r>
          </w:p>
        </w:tc>
      </w:tr>
      <w:tr w:rsidR="001D02F7" w:rsidRPr="001D02F7" w:rsidTr="00A90C3B">
        <w:trPr>
          <w:trHeight w:val="482"/>
        </w:trPr>
        <w:tc>
          <w:tcPr>
            <w:tcW w:w="2863" w:type="dxa"/>
          </w:tcPr>
          <w:p w:rsidR="001D02F7" w:rsidRPr="001D02F7" w:rsidRDefault="001D02F7" w:rsidP="0083200E">
            <w:pPr>
              <w:pStyle w:val="GDASubreferentiekop"/>
              <w:spacing w:line="276" w:lineRule="auto"/>
            </w:pPr>
            <w:r w:rsidRPr="001D02F7">
              <w:t>directie/afdeling</w:t>
            </w:r>
          </w:p>
          <w:p w:rsidR="001D02F7" w:rsidRPr="008141C9" w:rsidRDefault="001D02F7" w:rsidP="0083200E">
            <w:pPr>
              <w:pStyle w:val="GDASubreferentiekop"/>
              <w:spacing w:line="276" w:lineRule="auto"/>
              <w:rPr>
                <w:sz w:val="18"/>
                <w:szCs w:val="18"/>
              </w:rPr>
            </w:pPr>
            <w:r w:rsidRPr="008141C9">
              <w:rPr>
                <w:rStyle w:val="GDAReferentiekopChar"/>
                <w:sz w:val="18"/>
                <w:szCs w:val="18"/>
              </w:rPr>
              <w:t>dmo</w:t>
            </w:r>
            <w:r w:rsidRPr="008141C9">
              <w:rPr>
                <w:sz w:val="18"/>
                <w:szCs w:val="18"/>
              </w:rPr>
              <w:t>/</w:t>
            </w:r>
            <w:r w:rsidRPr="008141C9">
              <w:rPr>
                <w:rStyle w:val="GDAReferentiekopChar"/>
                <w:sz w:val="18"/>
                <w:szCs w:val="18"/>
              </w:rPr>
              <w:t>Maatschappelijk beleid</w:t>
            </w:r>
          </w:p>
        </w:tc>
        <w:tc>
          <w:tcPr>
            <w:tcW w:w="259" w:type="dxa"/>
          </w:tcPr>
          <w:p w:rsidR="001D02F7" w:rsidRPr="001D02F7" w:rsidRDefault="001D02F7" w:rsidP="0083200E">
            <w:pPr>
              <w:pStyle w:val="GDASubreferentiekop"/>
              <w:spacing w:line="276" w:lineRule="auto"/>
            </w:pPr>
          </w:p>
        </w:tc>
        <w:tc>
          <w:tcPr>
            <w:tcW w:w="2934" w:type="dxa"/>
          </w:tcPr>
          <w:p w:rsidR="001D02F7" w:rsidRPr="001D02F7" w:rsidRDefault="001D02F7" w:rsidP="0083200E">
            <w:pPr>
              <w:pStyle w:val="GDASubreferentiekop"/>
              <w:spacing w:line="276" w:lineRule="auto"/>
            </w:pPr>
            <w:r w:rsidRPr="001D02F7">
              <w:t>telefoon</w:t>
            </w:r>
          </w:p>
          <w:p w:rsidR="001D02F7" w:rsidRPr="001D02F7" w:rsidRDefault="001D02F7" w:rsidP="0083200E">
            <w:pPr>
              <w:pStyle w:val="GDASubreferentiekop"/>
              <w:spacing w:line="276" w:lineRule="auto"/>
            </w:pPr>
          </w:p>
        </w:tc>
        <w:tc>
          <w:tcPr>
            <w:tcW w:w="255" w:type="dxa"/>
          </w:tcPr>
          <w:p w:rsidR="001D02F7" w:rsidRPr="001D02F7" w:rsidRDefault="001D02F7" w:rsidP="0083200E">
            <w:pPr>
              <w:pStyle w:val="GDASubreferentiekop"/>
              <w:spacing w:line="276" w:lineRule="auto"/>
            </w:pPr>
          </w:p>
        </w:tc>
        <w:tc>
          <w:tcPr>
            <w:tcW w:w="2935" w:type="dxa"/>
          </w:tcPr>
          <w:p w:rsidR="001D02F7" w:rsidRPr="001D02F7" w:rsidRDefault="001D02F7" w:rsidP="0083200E">
            <w:pPr>
              <w:pStyle w:val="GDASubreferentiekop"/>
              <w:spacing w:line="276" w:lineRule="auto"/>
            </w:pPr>
            <w:r w:rsidRPr="001D02F7">
              <w:t>gouda</w:t>
            </w:r>
          </w:p>
          <w:p w:rsidR="001D02F7" w:rsidRPr="008141C9" w:rsidRDefault="008C1A3A" w:rsidP="0083200E">
            <w:pPr>
              <w:pStyle w:val="GDASubreferentiekop"/>
              <w:spacing w:line="276" w:lineRule="auto"/>
              <w:rPr>
                <w:sz w:val="18"/>
                <w:szCs w:val="18"/>
              </w:rPr>
            </w:pPr>
            <w:r w:rsidRPr="008141C9">
              <w:rPr>
                <w:rStyle w:val="GDAReferentiekopChar"/>
                <w:sz w:val="18"/>
                <w:szCs w:val="18"/>
              </w:rPr>
              <w:t>21 februari 2017</w:t>
            </w:r>
            <w:r w:rsidR="00A90C3B" w:rsidRPr="008141C9">
              <w:rPr>
                <w:rStyle w:val="GDAReferentiekopChar"/>
                <w:sz w:val="18"/>
                <w:szCs w:val="18"/>
              </w:rPr>
              <w:t xml:space="preserve"> </w:t>
            </w:r>
          </w:p>
        </w:tc>
      </w:tr>
      <w:tr w:rsidR="001D02F7" w:rsidRPr="001D02F7" w:rsidTr="00A90C3B">
        <w:trPr>
          <w:trHeight w:val="482"/>
        </w:trPr>
        <w:tc>
          <w:tcPr>
            <w:tcW w:w="2863" w:type="dxa"/>
          </w:tcPr>
          <w:p w:rsidR="001D02F7" w:rsidRPr="001D02F7" w:rsidRDefault="001D02F7" w:rsidP="0083200E">
            <w:pPr>
              <w:pStyle w:val="GDASubreferentiekop"/>
              <w:spacing w:line="276" w:lineRule="auto"/>
            </w:pPr>
            <w:r w:rsidRPr="001D02F7">
              <w:t>contactpersoon</w:t>
            </w:r>
          </w:p>
          <w:p w:rsidR="001D02F7" w:rsidRPr="008141C9" w:rsidRDefault="0064227D" w:rsidP="0083200E">
            <w:pPr>
              <w:pStyle w:val="GDASubreferentiekop"/>
              <w:spacing w:line="276" w:lineRule="auto"/>
              <w:rPr>
                <w:sz w:val="18"/>
                <w:szCs w:val="18"/>
              </w:rPr>
            </w:pPr>
            <w:r>
              <w:rPr>
                <w:sz w:val="18"/>
                <w:szCs w:val="18"/>
              </w:rPr>
              <w:t>P. Verkerk-Derksen</w:t>
            </w:r>
          </w:p>
        </w:tc>
        <w:tc>
          <w:tcPr>
            <w:tcW w:w="259" w:type="dxa"/>
          </w:tcPr>
          <w:p w:rsidR="001D02F7" w:rsidRPr="001D02F7" w:rsidRDefault="001D02F7" w:rsidP="0083200E">
            <w:pPr>
              <w:pStyle w:val="GDASubreferentiekop"/>
              <w:spacing w:line="276" w:lineRule="auto"/>
            </w:pPr>
          </w:p>
        </w:tc>
        <w:tc>
          <w:tcPr>
            <w:tcW w:w="2934" w:type="dxa"/>
          </w:tcPr>
          <w:p w:rsidR="001D02F7" w:rsidRPr="001D02F7" w:rsidRDefault="001D02F7" w:rsidP="0083200E">
            <w:pPr>
              <w:pStyle w:val="GDASubreferentiekop"/>
              <w:spacing w:line="276" w:lineRule="auto"/>
            </w:pPr>
            <w:r w:rsidRPr="001D02F7">
              <w:t>uw kenmerk</w:t>
            </w:r>
          </w:p>
          <w:p w:rsidR="001D02F7" w:rsidRPr="001D02F7" w:rsidRDefault="001D02F7" w:rsidP="0083200E">
            <w:pPr>
              <w:pStyle w:val="GDASubreferentiekop"/>
              <w:spacing w:line="276" w:lineRule="auto"/>
            </w:pPr>
          </w:p>
        </w:tc>
        <w:tc>
          <w:tcPr>
            <w:tcW w:w="255" w:type="dxa"/>
          </w:tcPr>
          <w:p w:rsidR="001D02F7" w:rsidRPr="001D02F7" w:rsidRDefault="001D02F7" w:rsidP="0083200E">
            <w:pPr>
              <w:pStyle w:val="GDASubreferentiekop"/>
              <w:spacing w:line="276" w:lineRule="auto"/>
            </w:pPr>
          </w:p>
        </w:tc>
        <w:tc>
          <w:tcPr>
            <w:tcW w:w="2935" w:type="dxa"/>
          </w:tcPr>
          <w:p w:rsidR="001D02F7" w:rsidRPr="001D02F7" w:rsidRDefault="001D02F7" w:rsidP="0083200E">
            <w:pPr>
              <w:pStyle w:val="GDASubreferentiekop"/>
              <w:spacing w:line="276" w:lineRule="auto"/>
            </w:pPr>
            <w:r w:rsidRPr="001D02F7">
              <w:t>ons kenmerk</w:t>
            </w:r>
          </w:p>
          <w:p w:rsidR="001D02F7" w:rsidRPr="001D02F7" w:rsidRDefault="001D02F7" w:rsidP="0083200E">
            <w:pPr>
              <w:pStyle w:val="GDASubreferentiekop"/>
              <w:spacing w:line="276" w:lineRule="auto"/>
            </w:pPr>
          </w:p>
        </w:tc>
      </w:tr>
      <w:tr w:rsidR="001D02F7" w:rsidRPr="001D02F7" w:rsidTr="00A90C3B">
        <w:trPr>
          <w:trHeight w:val="482"/>
        </w:trPr>
        <w:tc>
          <w:tcPr>
            <w:tcW w:w="6056" w:type="dxa"/>
            <w:gridSpan w:val="3"/>
          </w:tcPr>
          <w:p w:rsidR="001D02F7" w:rsidRPr="001D02F7" w:rsidRDefault="001D02F7" w:rsidP="0083200E">
            <w:pPr>
              <w:pStyle w:val="GDASubreferentiekop"/>
              <w:spacing w:line="276" w:lineRule="auto"/>
            </w:pPr>
            <w:r w:rsidRPr="001D02F7">
              <w:t>onderwerp</w:t>
            </w:r>
          </w:p>
          <w:p w:rsidR="00A90C3B" w:rsidRPr="008141C9" w:rsidRDefault="003E7F4B" w:rsidP="0064227D">
            <w:pPr>
              <w:pStyle w:val="GDASubreferentiekop"/>
              <w:spacing w:line="276" w:lineRule="auto"/>
              <w:rPr>
                <w:color w:val="808080"/>
                <w:sz w:val="18"/>
                <w:szCs w:val="18"/>
              </w:rPr>
            </w:pPr>
            <w:r>
              <w:rPr>
                <w:rStyle w:val="GDAReferentiekopChar"/>
                <w:sz w:val="18"/>
                <w:szCs w:val="18"/>
              </w:rPr>
              <w:t>Verzoek om advies over de t</w:t>
            </w:r>
            <w:r w:rsidR="008141C9" w:rsidRPr="008141C9">
              <w:rPr>
                <w:rStyle w:val="GDAReferentiekopChar"/>
                <w:sz w:val="18"/>
                <w:szCs w:val="18"/>
              </w:rPr>
              <w:t>ussenevaluatie Participatienota</w:t>
            </w:r>
            <w:r w:rsidR="0064227D">
              <w:rPr>
                <w:rStyle w:val="GDAReferentiekopChar"/>
                <w:sz w:val="18"/>
                <w:szCs w:val="18"/>
              </w:rPr>
              <w:t>,</w:t>
            </w:r>
            <w:r w:rsidR="008141C9" w:rsidRPr="008141C9">
              <w:rPr>
                <w:rStyle w:val="GDAReferentiekopChar"/>
                <w:sz w:val="18"/>
                <w:szCs w:val="18"/>
              </w:rPr>
              <w:t xml:space="preserve"> gewijzigde verordeningen</w:t>
            </w:r>
            <w:r w:rsidR="0064227D">
              <w:rPr>
                <w:rStyle w:val="GDAReferentiekopChar"/>
                <w:sz w:val="18"/>
                <w:szCs w:val="18"/>
              </w:rPr>
              <w:t xml:space="preserve"> en Klanttevredenheidsonderzoek Werk &amp; Inkomen</w:t>
            </w:r>
          </w:p>
        </w:tc>
        <w:tc>
          <w:tcPr>
            <w:tcW w:w="255" w:type="dxa"/>
          </w:tcPr>
          <w:p w:rsidR="001D02F7" w:rsidRPr="001D02F7" w:rsidRDefault="001D02F7" w:rsidP="0083200E">
            <w:pPr>
              <w:pStyle w:val="GDASubreferentiekop"/>
              <w:spacing w:line="276" w:lineRule="auto"/>
            </w:pPr>
          </w:p>
        </w:tc>
        <w:tc>
          <w:tcPr>
            <w:tcW w:w="2935" w:type="dxa"/>
          </w:tcPr>
          <w:p w:rsidR="001D02F7" w:rsidRPr="001D02F7" w:rsidRDefault="001D02F7" w:rsidP="0083200E">
            <w:pPr>
              <w:pStyle w:val="GDASubreferentiekop"/>
              <w:spacing w:line="276" w:lineRule="auto"/>
            </w:pPr>
            <w:r w:rsidRPr="001D02F7">
              <w:t>verzonden</w:t>
            </w:r>
          </w:p>
          <w:p w:rsidR="001D02F7" w:rsidRPr="001D02F7" w:rsidRDefault="001D02F7" w:rsidP="0083200E">
            <w:pPr>
              <w:pStyle w:val="GDASubreferentiekop"/>
              <w:spacing w:line="276" w:lineRule="auto"/>
            </w:pPr>
          </w:p>
        </w:tc>
      </w:tr>
    </w:tbl>
    <w:p w:rsidR="001D02F7" w:rsidRDefault="001D02F7" w:rsidP="0083200E">
      <w:pPr>
        <w:spacing w:line="276" w:lineRule="auto"/>
      </w:pPr>
    </w:p>
    <w:p w:rsidR="001D02F7" w:rsidRPr="00A909E2" w:rsidRDefault="001D02F7" w:rsidP="0083200E">
      <w:pPr>
        <w:spacing w:line="276" w:lineRule="auto"/>
      </w:pPr>
    </w:p>
    <w:p w:rsidR="001D02F7" w:rsidRDefault="001D02F7" w:rsidP="0083200E">
      <w:pPr>
        <w:spacing w:line="276" w:lineRule="auto"/>
      </w:pPr>
      <w:r w:rsidRPr="00C60934">
        <w:t xml:space="preserve">Geachte mevrouw </w:t>
      </w:r>
      <w:r w:rsidRPr="00BA694E">
        <w:t>Huisman-Mak, geachte leden van de Goudse Adviesraad Sociaal Domein,</w:t>
      </w:r>
    </w:p>
    <w:p w:rsidR="001D02F7" w:rsidRDefault="001D02F7" w:rsidP="0083200E">
      <w:pPr>
        <w:spacing w:line="276" w:lineRule="auto"/>
      </w:pPr>
    </w:p>
    <w:p w:rsidR="001D02F7" w:rsidRPr="00C60934" w:rsidRDefault="001D02F7" w:rsidP="0083200E">
      <w:pPr>
        <w:spacing w:line="276" w:lineRule="auto"/>
      </w:pPr>
    </w:p>
    <w:p w:rsidR="005E30E7" w:rsidRDefault="003E7F4B" w:rsidP="0083200E">
      <w:pPr>
        <w:spacing w:line="276" w:lineRule="auto"/>
      </w:pPr>
      <w:r w:rsidRPr="003E7F4B">
        <w:t>In deze brief treft u h</w:t>
      </w:r>
      <w:r>
        <w:t xml:space="preserve">et verzoek om te adviseren </w:t>
      </w:r>
      <w:r w:rsidR="00537785">
        <w:t>over</w:t>
      </w:r>
      <w:r w:rsidR="005E30E7">
        <w:t>:</w:t>
      </w:r>
    </w:p>
    <w:p w:rsidR="005E30E7" w:rsidRPr="005E30E7" w:rsidRDefault="00537785" w:rsidP="0083200E">
      <w:pPr>
        <w:pStyle w:val="Lijstalinea"/>
        <w:numPr>
          <w:ilvl w:val="0"/>
          <w:numId w:val="9"/>
        </w:numPr>
        <w:spacing w:line="276" w:lineRule="auto"/>
      </w:pPr>
      <w:r>
        <w:t>de tussen</w:t>
      </w:r>
      <w:r w:rsidR="002F7F2F">
        <w:t xml:space="preserve">evaluatie van de </w:t>
      </w:r>
      <w:r w:rsidR="002F7F2F" w:rsidRPr="005E30E7">
        <w:rPr>
          <w:i/>
        </w:rPr>
        <w:t xml:space="preserve">Participatienota </w:t>
      </w:r>
      <w:r w:rsidR="009C55D8" w:rsidRPr="005E30E7">
        <w:rPr>
          <w:i/>
        </w:rPr>
        <w:t>‘Samen aan de Slag (2015-2018)’</w:t>
      </w:r>
      <w:r w:rsidR="005E30E7">
        <w:rPr>
          <w:i/>
        </w:rPr>
        <w:t>;</w:t>
      </w:r>
    </w:p>
    <w:p w:rsidR="001D02F7" w:rsidRDefault="002F7F2F" w:rsidP="0083200E">
      <w:pPr>
        <w:pStyle w:val="Lijstalinea"/>
        <w:numPr>
          <w:ilvl w:val="0"/>
          <w:numId w:val="9"/>
        </w:numPr>
        <w:spacing w:line="276" w:lineRule="auto"/>
      </w:pPr>
      <w:r>
        <w:t>de wijziging van een aantal verordeningen vanuit de Participatiewet</w:t>
      </w:r>
      <w:r w:rsidR="00FD205C">
        <w:t xml:space="preserve"> en de Wet sociale werkvoorziening (Wsw)</w:t>
      </w:r>
      <w:r>
        <w:t>, te weten:</w:t>
      </w:r>
    </w:p>
    <w:p w:rsidR="002F7F2F" w:rsidRDefault="002F7F2F" w:rsidP="0083200E">
      <w:pPr>
        <w:pStyle w:val="Lijstalinea"/>
        <w:numPr>
          <w:ilvl w:val="0"/>
          <w:numId w:val="7"/>
        </w:numPr>
        <w:spacing w:line="276" w:lineRule="auto"/>
      </w:pPr>
      <w:r>
        <w:t>de re-integratieverordening;</w:t>
      </w:r>
    </w:p>
    <w:p w:rsidR="002F7F2F" w:rsidRDefault="002F7F2F" w:rsidP="0083200E">
      <w:pPr>
        <w:pStyle w:val="Lijstalinea"/>
        <w:numPr>
          <w:ilvl w:val="0"/>
          <w:numId w:val="7"/>
        </w:numPr>
        <w:spacing w:line="276" w:lineRule="auto"/>
      </w:pPr>
      <w:r>
        <w:t>de afstemmingsverordening;</w:t>
      </w:r>
    </w:p>
    <w:p w:rsidR="00B566C2" w:rsidRDefault="002F7F2F" w:rsidP="0083200E">
      <w:pPr>
        <w:pStyle w:val="Lijstalinea"/>
        <w:numPr>
          <w:ilvl w:val="0"/>
          <w:numId w:val="7"/>
        </w:numPr>
        <w:spacing w:line="276" w:lineRule="auto"/>
      </w:pPr>
      <w:r>
        <w:t xml:space="preserve">de </w:t>
      </w:r>
      <w:r w:rsidR="00B566C2">
        <w:t>verordening verrekening bestuurlijke boete bij recidive;</w:t>
      </w:r>
    </w:p>
    <w:p w:rsidR="00B566C2" w:rsidRDefault="00B566C2" w:rsidP="0083200E">
      <w:pPr>
        <w:pStyle w:val="Lijstalinea"/>
        <w:numPr>
          <w:ilvl w:val="0"/>
          <w:numId w:val="7"/>
        </w:numPr>
        <w:spacing w:line="276" w:lineRule="auto"/>
      </w:pPr>
      <w:r>
        <w:t>de verordening persoonsgebonden budget begeleid werken Wsw;</w:t>
      </w:r>
    </w:p>
    <w:p w:rsidR="00B566C2" w:rsidRDefault="00B566C2" w:rsidP="0083200E">
      <w:pPr>
        <w:pStyle w:val="Lijstalinea"/>
        <w:numPr>
          <w:ilvl w:val="0"/>
          <w:numId w:val="7"/>
        </w:numPr>
        <w:spacing w:line="276" w:lineRule="auto"/>
      </w:pPr>
      <w:r>
        <w:t>de re-integratieregeling</w:t>
      </w:r>
      <w:r w:rsidR="005E30E7">
        <w:t>.</w:t>
      </w:r>
    </w:p>
    <w:p w:rsidR="005E30E7" w:rsidRDefault="005E30E7" w:rsidP="0083200E">
      <w:pPr>
        <w:pStyle w:val="Lijstalinea"/>
        <w:numPr>
          <w:ilvl w:val="0"/>
          <w:numId w:val="9"/>
        </w:numPr>
        <w:spacing w:line="276" w:lineRule="auto"/>
      </w:pPr>
      <w:r>
        <w:t xml:space="preserve">de uitkomsten van het </w:t>
      </w:r>
      <w:r w:rsidRPr="0064227D">
        <w:rPr>
          <w:i/>
        </w:rPr>
        <w:t xml:space="preserve">Klanttevredenheidsonderzoek Werk </w:t>
      </w:r>
      <w:r w:rsidR="0064227D">
        <w:rPr>
          <w:i/>
        </w:rPr>
        <w:t>&amp;</w:t>
      </w:r>
      <w:r w:rsidRPr="0064227D">
        <w:rPr>
          <w:i/>
        </w:rPr>
        <w:t xml:space="preserve"> Inkomen 2016</w:t>
      </w:r>
      <w:r>
        <w:t>.</w:t>
      </w:r>
    </w:p>
    <w:p w:rsidR="008627DE" w:rsidRPr="008627DE" w:rsidRDefault="008627DE" w:rsidP="0083200E">
      <w:pPr>
        <w:spacing w:line="276" w:lineRule="auto"/>
        <w:rPr>
          <w:b/>
        </w:rPr>
      </w:pPr>
      <w:r w:rsidRPr="008627DE">
        <w:rPr>
          <w:b/>
        </w:rPr>
        <w:t>Aanleiding</w:t>
      </w:r>
    </w:p>
    <w:p w:rsidR="00B566C2" w:rsidRDefault="009C55D8" w:rsidP="0083200E">
      <w:pPr>
        <w:spacing w:line="276" w:lineRule="auto"/>
      </w:pPr>
      <w:r w:rsidRPr="009C55D8">
        <w:t xml:space="preserve">In het </w:t>
      </w:r>
      <w:r w:rsidR="00EB6401">
        <w:t>raads</w:t>
      </w:r>
      <w:r w:rsidRPr="009C55D8">
        <w:t>besluit o</w:t>
      </w:r>
      <w:r>
        <w:t>ver de Participatienota d.d. 1 april 2015</w:t>
      </w:r>
      <w:r w:rsidRPr="009C55D8">
        <w:t xml:space="preserve"> is opgenomen dat er eind 2016 een tussenevaluatie wordt uitgevoerd van het participatiebeleid. Vanwege de tijdelijk</w:t>
      </w:r>
      <w:r w:rsidR="00790023">
        <w:t>e</w:t>
      </w:r>
      <w:r w:rsidRPr="009C55D8">
        <w:t xml:space="preserve"> afwezigheid van het college in 2016 is de tussenevaluatie doorgeschoven naar de eerste helft van 2017</w:t>
      </w:r>
      <w:r w:rsidR="0094674D">
        <w:t>.</w:t>
      </w:r>
    </w:p>
    <w:p w:rsidR="009C55D8" w:rsidRDefault="009C55D8" w:rsidP="0083200E">
      <w:pPr>
        <w:spacing w:line="276" w:lineRule="auto"/>
      </w:pPr>
      <w:r>
        <w:t xml:space="preserve">In de tussenevaluatie wordt teruggeblikt op de resultaten van het participatiebeleid over de periode april 2015 (aanvang van de Participatienota) tot en met december 2016. Ook wordt vooruitgeblikt naar 2017 en 2018. </w:t>
      </w:r>
    </w:p>
    <w:p w:rsidR="00BA5BE5" w:rsidRDefault="00BA5BE5" w:rsidP="0083200E">
      <w:pPr>
        <w:spacing w:line="276" w:lineRule="auto"/>
      </w:pPr>
    </w:p>
    <w:p w:rsidR="00EE056C" w:rsidRDefault="00EE056C" w:rsidP="0083200E">
      <w:pPr>
        <w:spacing w:line="276" w:lineRule="auto"/>
        <w:rPr>
          <w:rFonts w:cs="Arial"/>
          <w:szCs w:val="20"/>
        </w:rPr>
      </w:pPr>
      <w:r>
        <w:rPr>
          <w:rFonts w:cs="Arial"/>
          <w:szCs w:val="20"/>
        </w:rPr>
        <w:t>De tussenevaluatie geeft aanleiding voor het wijzigen van een aantal verordeningen en regelingen. Inmiddels geeft ook gewijzigde wetgeving hiertoe aanleiding. Er is daarom voor gekozen deze wijzigingen parallel te laten lopen aan de behandeling van de tussenevaluatie.</w:t>
      </w:r>
      <w:r w:rsidRPr="00377805">
        <w:rPr>
          <w:rFonts w:cs="Arial"/>
          <w:szCs w:val="20"/>
        </w:rPr>
        <w:t xml:space="preserve"> </w:t>
      </w:r>
    </w:p>
    <w:p w:rsidR="00EE056C" w:rsidRDefault="00EE056C" w:rsidP="0083200E">
      <w:pPr>
        <w:spacing w:line="276" w:lineRule="auto"/>
      </w:pPr>
    </w:p>
    <w:p w:rsidR="005E30E7" w:rsidRDefault="0083200E" w:rsidP="0083200E">
      <w:pPr>
        <w:spacing w:line="276" w:lineRule="auto"/>
      </w:pPr>
      <w:r>
        <w:lastRenderedPageBreak/>
        <w:t xml:space="preserve">Daarnaast </w:t>
      </w:r>
      <w:r w:rsidR="005E30E7">
        <w:t xml:space="preserve">heeft de gemeente in september en oktober 2016 onder de klanten van afdeling Werk en Inkomen een klanttevredenheidsonderzoek verricht. </w:t>
      </w:r>
      <w:r w:rsidR="005E30E7" w:rsidRPr="00CA1BAF">
        <w:t xml:space="preserve">Het </w:t>
      </w:r>
      <w:r w:rsidR="005E30E7" w:rsidRPr="003E0BDE">
        <w:rPr>
          <w:i/>
        </w:rPr>
        <w:t>Klanttevredenheidsonderzoek Werk &amp; Inkomen</w:t>
      </w:r>
      <w:r w:rsidR="005E30E7" w:rsidRPr="00CA1BAF">
        <w:t xml:space="preserve"> (Kto W&amp;I) is een onderzoek naar de beleving van bijstandsklanten. </w:t>
      </w:r>
      <w:r w:rsidR="005E30E7">
        <w:t xml:space="preserve">Hierin worden de reacties van de klanten van Gouda afgezet tegen de landelijke referentiegroep. </w:t>
      </w:r>
    </w:p>
    <w:p w:rsidR="00EB6401" w:rsidRDefault="00EB6401" w:rsidP="0083200E">
      <w:pPr>
        <w:spacing w:line="276" w:lineRule="auto"/>
      </w:pPr>
    </w:p>
    <w:p w:rsidR="009F34B9" w:rsidRPr="009F34B9" w:rsidRDefault="0094674D" w:rsidP="0083200E">
      <w:pPr>
        <w:spacing w:line="276" w:lineRule="auto"/>
        <w:rPr>
          <w:b/>
        </w:rPr>
      </w:pPr>
      <w:r>
        <w:rPr>
          <w:b/>
        </w:rPr>
        <w:t>Belangrijkste conclusies t</w:t>
      </w:r>
      <w:r w:rsidR="009F34B9" w:rsidRPr="009F34B9">
        <w:rPr>
          <w:b/>
        </w:rPr>
        <w:t>ussenevaluatie</w:t>
      </w:r>
      <w:r w:rsidR="009F34B9">
        <w:rPr>
          <w:b/>
        </w:rPr>
        <w:t xml:space="preserve"> Participatienota</w:t>
      </w:r>
    </w:p>
    <w:p w:rsidR="00EE056C" w:rsidRDefault="000A6C91" w:rsidP="0083200E">
      <w:pPr>
        <w:spacing w:after="0" w:line="276" w:lineRule="auto"/>
        <w:rPr>
          <w:rFonts w:cs="Arial"/>
          <w:szCs w:val="20"/>
        </w:rPr>
      </w:pPr>
      <w:r w:rsidRPr="00377805">
        <w:rPr>
          <w:rFonts w:cs="Arial"/>
          <w:szCs w:val="20"/>
        </w:rPr>
        <w:t xml:space="preserve">Eind 2016 is een tussenevaluatie uitgevoerd van de Participatienota </w:t>
      </w:r>
      <w:r w:rsidR="001F5FF5">
        <w:rPr>
          <w:rFonts w:cs="Arial"/>
          <w:szCs w:val="20"/>
        </w:rPr>
        <w:t>‘</w:t>
      </w:r>
      <w:r w:rsidRPr="00377805">
        <w:rPr>
          <w:rFonts w:cs="Arial"/>
          <w:szCs w:val="20"/>
        </w:rPr>
        <w:t>Samen aan de Slag 2015-2018</w:t>
      </w:r>
      <w:r w:rsidR="001F5FF5">
        <w:rPr>
          <w:rFonts w:cs="Arial"/>
          <w:szCs w:val="20"/>
        </w:rPr>
        <w:t>’</w:t>
      </w:r>
      <w:r w:rsidRPr="00377805">
        <w:rPr>
          <w:rFonts w:cs="Arial"/>
          <w:szCs w:val="20"/>
        </w:rPr>
        <w:t>. De tussenevaluatie richt zich op het gehele participatiebeleid, met speciale aandacht voor de aanpak beschermd werk (de begeleiding van mensen met een arbeidsbeperking richting regulier werk).</w:t>
      </w:r>
      <w:r>
        <w:rPr>
          <w:rFonts w:cs="Arial"/>
          <w:szCs w:val="20"/>
        </w:rPr>
        <w:t xml:space="preserve"> </w:t>
      </w:r>
      <w:r w:rsidRPr="00377805">
        <w:rPr>
          <w:rFonts w:cs="Arial"/>
          <w:szCs w:val="20"/>
        </w:rPr>
        <w:t>De belangrijkste con</w:t>
      </w:r>
      <w:r>
        <w:rPr>
          <w:rFonts w:cs="Arial"/>
          <w:szCs w:val="20"/>
        </w:rPr>
        <w:t xml:space="preserve">clusie van de tussenevaluatie is dat wijziging van het beleid op basis van de huidige resultaten niet noodzakelijk is, maar dat aanscherping van het beleid op een aantal vlakken gewenst is. </w:t>
      </w:r>
      <w:r w:rsidR="00C766AB" w:rsidRPr="00C766AB">
        <w:rPr>
          <w:rFonts w:cs="Arial"/>
          <w:szCs w:val="20"/>
        </w:rPr>
        <w:t>Hierbij wordt onder andere gedacht aan</w:t>
      </w:r>
      <w:r w:rsidR="00EE056C">
        <w:rPr>
          <w:rFonts w:cs="Arial"/>
          <w:szCs w:val="20"/>
        </w:rPr>
        <w:t>:</w:t>
      </w:r>
    </w:p>
    <w:p w:rsidR="00EE056C" w:rsidRDefault="00EE056C" w:rsidP="0083200E">
      <w:pPr>
        <w:pStyle w:val="Lijstalinea"/>
        <w:numPr>
          <w:ilvl w:val="0"/>
          <w:numId w:val="8"/>
        </w:numPr>
        <w:spacing w:after="0" w:line="276" w:lineRule="auto"/>
        <w:ind w:left="357" w:hanging="357"/>
        <w:rPr>
          <w:rFonts w:cs="Arial"/>
          <w:szCs w:val="20"/>
        </w:rPr>
      </w:pPr>
      <w:r w:rsidRPr="00A51E8D">
        <w:rPr>
          <w:rFonts w:cs="Arial"/>
          <w:szCs w:val="20"/>
        </w:rPr>
        <w:t>het inzetten</w:t>
      </w:r>
      <w:r>
        <w:rPr>
          <w:rFonts w:cs="Arial"/>
          <w:szCs w:val="20"/>
        </w:rPr>
        <w:t xml:space="preserve"> op WW-ers die bijna aan het einde van hun WW termijn zitten</w:t>
      </w:r>
      <w:r w:rsidRPr="00A51E8D">
        <w:rPr>
          <w:rFonts w:cs="Arial"/>
          <w:szCs w:val="20"/>
        </w:rPr>
        <w:t xml:space="preserve"> om de doorstroom richting de bijstand te verminderen</w:t>
      </w:r>
      <w:r>
        <w:rPr>
          <w:rFonts w:cs="Arial"/>
          <w:szCs w:val="20"/>
        </w:rPr>
        <w:t>;</w:t>
      </w:r>
    </w:p>
    <w:p w:rsidR="00EE056C" w:rsidRDefault="00EE056C" w:rsidP="0083200E">
      <w:pPr>
        <w:pStyle w:val="Lijstalinea"/>
        <w:numPr>
          <w:ilvl w:val="0"/>
          <w:numId w:val="8"/>
        </w:numPr>
        <w:spacing w:after="0" w:line="276" w:lineRule="auto"/>
        <w:rPr>
          <w:rFonts w:cs="Arial"/>
          <w:szCs w:val="20"/>
        </w:rPr>
      </w:pPr>
      <w:r w:rsidRPr="00A51E8D">
        <w:rPr>
          <w:rFonts w:cs="Arial"/>
          <w:szCs w:val="20"/>
        </w:rPr>
        <w:t>het oprichten van een sociale coöperatie om zelfstandig ondernemerschap in de bijstand te stimuleren</w:t>
      </w:r>
      <w:r>
        <w:rPr>
          <w:rFonts w:cs="Arial"/>
          <w:szCs w:val="20"/>
        </w:rPr>
        <w:t>;</w:t>
      </w:r>
    </w:p>
    <w:p w:rsidR="00EE056C" w:rsidRPr="00CA3D66" w:rsidRDefault="00EE056C" w:rsidP="0083200E">
      <w:pPr>
        <w:pStyle w:val="Lijstalinea"/>
        <w:numPr>
          <w:ilvl w:val="0"/>
          <w:numId w:val="8"/>
        </w:numPr>
        <w:spacing w:after="0" w:line="276" w:lineRule="auto"/>
        <w:rPr>
          <w:rFonts w:cs="Arial"/>
          <w:szCs w:val="20"/>
        </w:rPr>
      </w:pPr>
      <w:r w:rsidRPr="00CA3D66">
        <w:rPr>
          <w:rFonts w:cs="Arial"/>
          <w:szCs w:val="20"/>
        </w:rPr>
        <w:t xml:space="preserve">het onderzoeken van een detacheringsfaciliteit, om het structurele tekort op het BUIG te reduceren. </w:t>
      </w:r>
    </w:p>
    <w:p w:rsidR="00EE056C" w:rsidRDefault="00EE056C" w:rsidP="0083200E">
      <w:pPr>
        <w:spacing w:after="0" w:line="276" w:lineRule="auto"/>
        <w:rPr>
          <w:rFonts w:cs="Arial"/>
          <w:szCs w:val="20"/>
        </w:rPr>
      </w:pPr>
    </w:p>
    <w:p w:rsidR="009F34B9" w:rsidRDefault="000A6C91" w:rsidP="0083200E">
      <w:pPr>
        <w:spacing w:line="276" w:lineRule="auto"/>
      </w:pPr>
      <w:r>
        <w:rPr>
          <w:rFonts w:cs="Arial"/>
          <w:szCs w:val="20"/>
        </w:rPr>
        <w:t xml:space="preserve">De </w:t>
      </w:r>
      <w:r w:rsidR="00BF6833">
        <w:rPr>
          <w:rFonts w:cs="Arial"/>
          <w:szCs w:val="20"/>
        </w:rPr>
        <w:t>gemeente</w:t>
      </w:r>
      <w:r>
        <w:rPr>
          <w:rFonts w:cs="Arial"/>
          <w:szCs w:val="20"/>
        </w:rPr>
        <w:t>raad heeft speciale aandacht gevraagd voor de doelgroep arbeidsbeperkten.</w:t>
      </w:r>
      <w:r w:rsidR="00EE056C">
        <w:rPr>
          <w:rFonts w:cs="Arial"/>
          <w:szCs w:val="20"/>
        </w:rPr>
        <w:t xml:space="preserve"> Hier is bij de tussenevaluatie specifieke aandacht aan besteed. Gouda heeft in 2015 en 2016 50 inwoners met een arbeidsbeperking aan een reguliere baan geholpen. Dit is mede gelukt </w:t>
      </w:r>
      <w:r w:rsidR="00EE056C" w:rsidRPr="00C62729">
        <w:rPr>
          <w:rFonts w:cs="Arial"/>
          <w:szCs w:val="20"/>
        </w:rPr>
        <w:t>door de inzet van instrumenten als loonkostensubsidie, jobcoaching en de no-risk polis die Gouda inzet voor deze doelgroep.</w:t>
      </w:r>
      <w:r w:rsidR="00EE056C">
        <w:rPr>
          <w:rFonts w:cs="Arial"/>
          <w:szCs w:val="20"/>
        </w:rPr>
        <w:t xml:space="preserve"> Hiermee heeft de aanpak beschermd werk, waar Gouda in 2015 mee is gestart om personen met een arbeidsbeperking richting een reguliere baan te begeleiden, goede resultaten opgeleverd.</w:t>
      </w:r>
      <w:r>
        <w:rPr>
          <w:rFonts w:cs="Arial"/>
          <w:szCs w:val="20"/>
        </w:rPr>
        <w:t xml:space="preserve"> </w:t>
      </w:r>
    </w:p>
    <w:p w:rsidR="009C55D8" w:rsidRDefault="009C55D8" w:rsidP="0083200E">
      <w:pPr>
        <w:spacing w:line="276" w:lineRule="auto"/>
      </w:pPr>
    </w:p>
    <w:p w:rsidR="0083200E" w:rsidRPr="0083200E" w:rsidRDefault="0083200E" w:rsidP="0083200E">
      <w:pPr>
        <w:spacing w:line="276" w:lineRule="auto"/>
        <w:rPr>
          <w:b/>
        </w:rPr>
      </w:pPr>
      <w:r w:rsidRPr="0083200E">
        <w:rPr>
          <w:b/>
        </w:rPr>
        <w:t>Voorgenomen wijzigingen verordeningen en regelingen</w:t>
      </w:r>
    </w:p>
    <w:p w:rsidR="0083200E" w:rsidRDefault="0083200E" w:rsidP="0083200E">
      <w:pPr>
        <w:spacing w:line="276" w:lineRule="auto"/>
      </w:pPr>
      <w:r>
        <w:t>De re-integratieverordening, de afstemmingsverordening</w:t>
      </w:r>
      <w:r w:rsidR="00353E6F">
        <w:t xml:space="preserve"> </w:t>
      </w:r>
      <w:bookmarkStart w:id="0" w:name="_GoBack"/>
      <w:bookmarkEnd w:id="0"/>
      <w:r>
        <w:t xml:space="preserve">en de re-integratieregeling worden gewijzigd. </w:t>
      </w:r>
    </w:p>
    <w:p w:rsidR="0083200E" w:rsidRDefault="0083200E" w:rsidP="0083200E">
      <w:pPr>
        <w:spacing w:line="276" w:lineRule="auto"/>
      </w:pPr>
      <w:r>
        <w:t xml:space="preserve">De verordening verrekening bestuurlijke boete bij recidive komt, vanwege gewijzigde wetgeving, in zijn geheel te vervallen. </w:t>
      </w:r>
    </w:p>
    <w:p w:rsidR="0083200E" w:rsidRDefault="0083200E" w:rsidP="0083200E">
      <w:pPr>
        <w:spacing w:line="276" w:lineRule="auto"/>
      </w:pPr>
      <w:r>
        <w:t xml:space="preserve">Daarnaast is op verzoek van de gemeenteraad de verordening persoonsgebonden budget begeleid werken Wsw geharmoniseerd met de reguliere re-integratieverordening, waarin alle voorzieningen voor de doelgroep Participatiewet (inclusief arbeidsbeperkten) zijn opgenomen. </w:t>
      </w:r>
    </w:p>
    <w:p w:rsidR="0083200E" w:rsidRDefault="0083200E" w:rsidP="0083200E">
      <w:pPr>
        <w:spacing w:line="276" w:lineRule="auto"/>
      </w:pPr>
      <w:r>
        <w:t xml:space="preserve">In de bijlage vindt u een overzicht van de voorgenomen wijzigingen van de hier </w:t>
      </w:r>
    </w:p>
    <w:p w:rsidR="0083200E" w:rsidRDefault="0083200E" w:rsidP="0083200E">
      <w:pPr>
        <w:spacing w:line="276" w:lineRule="auto"/>
      </w:pPr>
      <w:r>
        <w:t>boven genoemde verordeningen.</w:t>
      </w:r>
    </w:p>
    <w:p w:rsidR="0083200E" w:rsidRDefault="0083200E" w:rsidP="0083200E">
      <w:pPr>
        <w:spacing w:line="276" w:lineRule="auto"/>
      </w:pPr>
    </w:p>
    <w:p w:rsidR="0083200E" w:rsidRPr="0083200E" w:rsidRDefault="0083200E" w:rsidP="0083200E">
      <w:pPr>
        <w:spacing w:line="276" w:lineRule="auto"/>
        <w:rPr>
          <w:b/>
        </w:rPr>
      </w:pPr>
      <w:r w:rsidRPr="0083200E">
        <w:rPr>
          <w:b/>
        </w:rPr>
        <w:t>Klanttevredenheidsonderzoek Werk &amp; Inkomen</w:t>
      </w:r>
    </w:p>
    <w:p w:rsidR="0083200E" w:rsidRDefault="0083200E" w:rsidP="0083200E">
      <w:pPr>
        <w:spacing w:line="276" w:lineRule="auto"/>
      </w:pPr>
      <w:r w:rsidRPr="00BA6E0C">
        <w:t>De klanten in Gouda geven voor de dienstverlening gemiddeld een 6,9</w:t>
      </w:r>
      <w:r>
        <w:t>, landelijk ligt dit cijfer op 7,2</w:t>
      </w:r>
      <w:r w:rsidRPr="00BA6E0C">
        <w:t xml:space="preserve">. </w:t>
      </w:r>
      <w:r>
        <w:t>Klanten zijn vooral tevreden over de informatievoorziening en bereikbaarheid, de snelheid waarmee een re-integratietraject wordt gestart en het uiteindelijke resultaat van het traject. Wat minder tevreden zijn ze over de informatievoorziening over andere regelingen. De werkcoaches en consulenten worden beoordeeld met resp. een 6,7 en een 6,9. Dit is gelijk aan het landelijke beeld.</w:t>
      </w:r>
    </w:p>
    <w:p w:rsidR="0083200E" w:rsidRDefault="0083200E" w:rsidP="0083200E">
      <w:pPr>
        <w:spacing w:line="276" w:lineRule="auto"/>
      </w:pPr>
      <w:r w:rsidRPr="00BA6E0C">
        <w:t xml:space="preserve">Het ‘rekening houden met de situatie van de klant’ is het door respondenten meest genoemde verbeterpunt. Ook het wisselen van klantmanagers ervaren klanten als negatief. Door het wisselen van klantmanagers ervaren klanten dat ze vaak opnieuw hun persoonlijke situatie moeten uitleggen, wat als ‘vervelend’ tot ‘zeer vervelend’ wordt omschreven. Andere verbeterpunten, aangedragen door klanten, zijn de ‘telefonische bereikbaarheid’ en ‘begrip en respect van de medewerkers’. Het is echter goed te beseffen dat veel respondenten erg tevreden zijn met de dienstverlening van de afdeling </w:t>
      </w:r>
      <w:r>
        <w:t>Werk en Inkomen</w:t>
      </w:r>
      <w:r w:rsidRPr="00BA6E0C">
        <w:t xml:space="preserve">. </w:t>
      </w:r>
    </w:p>
    <w:p w:rsidR="0083200E" w:rsidRDefault="0083200E" w:rsidP="0083200E">
      <w:pPr>
        <w:spacing w:line="276" w:lineRule="auto"/>
      </w:pPr>
    </w:p>
    <w:p w:rsidR="0083200E" w:rsidRDefault="0083200E" w:rsidP="0083200E">
      <w:pPr>
        <w:spacing w:line="276" w:lineRule="auto"/>
        <w:rPr>
          <w:b/>
        </w:rPr>
      </w:pPr>
    </w:p>
    <w:p w:rsidR="003E7F4B" w:rsidRPr="003E7F4B" w:rsidRDefault="003E7F4B" w:rsidP="0083200E">
      <w:pPr>
        <w:spacing w:line="276" w:lineRule="auto"/>
        <w:rPr>
          <w:b/>
        </w:rPr>
      </w:pPr>
      <w:r w:rsidRPr="003E7F4B">
        <w:rPr>
          <w:b/>
        </w:rPr>
        <w:lastRenderedPageBreak/>
        <w:t>Verzoek om advies</w:t>
      </w:r>
    </w:p>
    <w:p w:rsidR="0083200E" w:rsidRDefault="003E7F4B" w:rsidP="0083200E">
      <w:pPr>
        <w:spacing w:line="276" w:lineRule="auto"/>
      </w:pPr>
      <w:r>
        <w:t>Bij deze verzoeken wij u conform artikel 4, tweede lid, van de Verordening burger- en cliëntenparticipatie sociaal domein Gouda 2015 advies uit te brengen over de tussenevaluatie van de Participatienota</w:t>
      </w:r>
      <w:r w:rsidR="0083200E">
        <w:t>,</w:t>
      </w:r>
      <w:r>
        <w:t xml:space="preserve"> de voorgenomen wijzigingen van de genoemde verordeningen</w:t>
      </w:r>
      <w:r w:rsidR="0083200E">
        <w:t xml:space="preserve"> en de uitkomsten van het klanttevredenheidsonderzoek</w:t>
      </w:r>
      <w:r>
        <w:t xml:space="preserve">. </w:t>
      </w:r>
    </w:p>
    <w:p w:rsidR="003E7F4B" w:rsidRPr="00E276CC" w:rsidRDefault="003E7F4B" w:rsidP="0083200E">
      <w:pPr>
        <w:spacing w:line="276" w:lineRule="auto"/>
      </w:pPr>
      <w:r>
        <w:t xml:space="preserve">Wij verzoeken u </w:t>
      </w:r>
      <w:r w:rsidR="00E276CC">
        <w:t>uw</w:t>
      </w:r>
      <w:r>
        <w:t xml:space="preserve"> advies zo </w:t>
      </w:r>
      <w:r w:rsidR="00AC54F6">
        <w:t xml:space="preserve">snel mogelijk </w:t>
      </w:r>
      <w:r w:rsidR="00AC54F6" w:rsidRPr="0064227D">
        <w:t xml:space="preserve">en </w:t>
      </w:r>
      <w:r w:rsidRPr="0064227D">
        <w:t xml:space="preserve"> </w:t>
      </w:r>
      <w:r w:rsidRPr="0064227D">
        <w:rPr>
          <w:u w:val="single"/>
        </w:rPr>
        <w:t xml:space="preserve">uiterlijk </w:t>
      </w:r>
      <w:r w:rsidR="00AC54F6" w:rsidRPr="0064227D">
        <w:rPr>
          <w:u w:val="single"/>
        </w:rPr>
        <w:t>21 april 2017</w:t>
      </w:r>
      <w:r w:rsidR="00AC54F6" w:rsidRPr="0064227D">
        <w:t xml:space="preserve"> </w:t>
      </w:r>
      <w:r w:rsidRPr="0064227D">
        <w:t xml:space="preserve">uit te brengen zodat we de </w:t>
      </w:r>
      <w:r w:rsidR="00A85E41" w:rsidRPr="0064227D">
        <w:t xml:space="preserve">tussenevaluatie en de verordeningen </w:t>
      </w:r>
      <w:r w:rsidRPr="0064227D">
        <w:t>tijdig kunnen agenderen voor besluitvorming door de gemeenteraad.</w:t>
      </w:r>
      <w:r w:rsidR="00AC54F6" w:rsidRPr="0064227D">
        <w:t xml:space="preserve"> </w:t>
      </w:r>
      <w:r w:rsidR="00790023" w:rsidRPr="0064227D">
        <w:rPr>
          <w:rFonts w:cs="Arial"/>
          <w:szCs w:val="20"/>
        </w:rPr>
        <w:t>Wij vragen</w:t>
      </w:r>
      <w:r w:rsidR="00AC54F6" w:rsidRPr="0064227D">
        <w:rPr>
          <w:rFonts w:cs="Arial"/>
          <w:szCs w:val="20"/>
        </w:rPr>
        <w:t xml:space="preserve"> u vriendelijk om uw advies schriftelijk in te dienen op het volgende adres: directie Maatschappelijke Ontwikkeling, t.a.v, mevr</w:t>
      </w:r>
      <w:r w:rsidR="0064227D" w:rsidRPr="0064227D">
        <w:rPr>
          <w:rFonts w:cs="Arial"/>
          <w:szCs w:val="20"/>
        </w:rPr>
        <w:t>. P. Verkerk-Derksen</w:t>
      </w:r>
      <w:r w:rsidR="00AC54F6" w:rsidRPr="0064227D">
        <w:rPr>
          <w:rFonts w:cs="Arial"/>
          <w:szCs w:val="20"/>
        </w:rPr>
        <w:t>, Postbus 1086, 2800 BB Gouda. Per e</w:t>
      </w:r>
      <w:r w:rsidR="0064227D" w:rsidRPr="0064227D">
        <w:rPr>
          <w:rFonts w:cs="Arial"/>
          <w:szCs w:val="20"/>
        </w:rPr>
        <w:t>-</w:t>
      </w:r>
      <w:r w:rsidR="00AC54F6" w:rsidRPr="0064227D">
        <w:rPr>
          <w:rFonts w:cs="Arial"/>
          <w:szCs w:val="20"/>
        </w:rPr>
        <w:t xml:space="preserve">mail kan ook via </w:t>
      </w:r>
      <w:hyperlink r:id="rId7" w:history="1">
        <w:r w:rsidR="0064227D" w:rsidRPr="0064227D">
          <w:rPr>
            <w:rStyle w:val="Hyperlink"/>
            <w:rFonts w:cs="Arial"/>
            <w:szCs w:val="20"/>
          </w:rPr>
          <w:t>petra.verkerk-derksen@gouda.nl</w:t>
        </w:r>
      </w:hyperlink>
      <w:r w:rsidR="00AC54F6" w:rsidRPr="0064227D">
        <w:rPr>
          <w:rFonts w:cs="Arial"/>
          <w:szCs w:val="20"/>
        </w:rPr>
        <w:t>.</w:t>
      </w:r>
    </w:p>
    <w:p w:rsidR="00E276CC" w:rsidRDefault="00E276CC" w:rsidP="0083200E">
      <w:pPr>
        <w:spacing w:line="276" w:lineRule="auto"/>
        <w:rPr>
          <w:rFonts w:cs="Arial"/>
          <w:szCs w:val="20"/>
        </w:rPr>
      </w:pPr>
    </w:p>
    <w:p w:rsidR="00AC54F6" w:rsidRPr="00704BAD" w:rsidRDefault="00AC54F6" w:rsidP="0083200E">
      <w:pPr>
        <w:pStyle w:val="GDAStandaardafstandklein"/>
        <w:spacing w:line="276" w:lineRule="auto"/>
        <w:rPr>
          <w:rFonts w:cs="Arial"/>
          <w:sz w:val="20"/>
          <w:szCs w:val="20"/>
        </w:rPr>
      </w:pPr>
      <w:r w:rsidRPr="00704BAD">
        <w:rPr>
          <w:rFonts w:cs="Arial"/>
          <w:sz w:val="20"/>
          <w:szCs w:val="20"/>
        </w:rPr>
        <w:t xml:space="preserve">Alvast dank voor de medewerking. </w:t>
      </w:r>
      <w:r w:rsidR="00790023">
        <w:rPr>
          <w:rFonts w:cs="Arial"/>
          <w:sz w:val="20"/>
          <w:szCs w:val="20"/>
        </w:rPr>
        <w:t xml:space="preserve">Wij zien </w:t>
      </w:r>
      <w:r w:rsidRPr="00704BAD">
        <w:rPr>
          <w:rFonts w:cs="Arial"/>
          <w:sz w:val="20"/>
          <w:szCs w:val="20"/>
        </w:rPr>
        <w:t>uw advies met belangstelling tegemoet.</w:t>
      </w:r>
    </w:p>
    <w:p w:rsidR="001D02F7" w:rsidRPr="00155881" w:rsidRDefault="001D02F7" w:rsidP="0083200E">
      <w:pPr>
        <w:spacing w:line="276" w:lineRule="auto"/>
      </w:pPr>
    </w:p>
    <w:p w:rsidR="001D02F7" w:rsidRDefault="001D02F7" w:rsidP="0083200E">
      <w:pPr>
        <w:spacing w:line="276" w:lineRule="auto"/>
      </w:pPr>
    </w:p>
    <w:p w:rsidR="001D02F7" w:rsidRDefault="001D02F7" w:rsidP="0083200E">
      <w:pPr>
        <w:spacing w:line="276" w:lineRule="auto"/>
      </w:pPr>
      <w:r w:rsidRPr="005F20A8">
        <w:t>Met vriendelijke groet,</w:t>
      </w:r>
      <w:r w:rsidRPr="005F20A8">
        <w:br/>
      </w:r>
      <w:r w:rsidRPr="005F20A8">
        <w:br/>
        <w:t>burgemeester en wethouders van Gouda,</w:t>
      </w:r>
      <w:r w:rsidRPr="005F20A8">
        <w:br/>
        <w:t xml:space="preserve">de </w:t>
      </w:r>
      <w:r w:rsidR="00EE056C">
        <w:t>gemeente</w:t>
      </w:r>
      <w:r w:rsidRPr="005F20A8">
        <w:t>secretaris,</w:t>
      </w:r>
      <w:r w:rsidRPr="005F20A8">
        <w:tab/>
      </w:r>
      <w:r w:rsidRPr="005F20A8">
        <w:tab/>
      </w:r>
      <w:r w:rsidR="00C019D7">
        <w:tab/>
      </w:r>
      <w:r w:rsidR="00EE056C">
        <w:t>de burgemeester,</w:t>
      </w:r>
      <w:r w:rsidR="00EE056C">
        <w:br/>
      </w:r>
      <w:r w:rsidR="00EE056C">
        <w:br/>
      </w:r>
      <w:r w:rsidR="00EE056C">
        <w:br/>
      </w:r>
      <w:r w:rsidR="00EE056C">
        <w:br/>
      </w:r>
      <w:r w:rsidR="00BD5A8E">
        <w:t>Dr. E.M. Brander</w:t>
      </w:r>
      <w:r w:rsidR="00EE056C">
        <w:t>horst</w:t>
      </w:r>
      <w:r>
        <w:t xml:space="preserve"> </w:t>
      </w:r>
      <w:r>
        <w:tab/>
      </w:r>
      <w:r w:rsidR="00C019D7">
        <w:tab/>
      </w:r>
      <w:r w:rsidR="00EE056C">
        <w:tab/>
      </w:r>
      <w:r w:rsidRPr="005F20A8">
        <w:t>Dr</w:t>
      </w:r>
      <w:r>
        <w:t>.</w:t>
      </w:r>
      <w:r w:rsidRPr="005F20A8">
        <w:t xml:space="preserve"> M. Schoenmaker</w:t>
      </w:r>
    </w:p>
    <w:p w:rsidR="001D02F7" w:rsidRDefault="001D02F7" w:rsidP="0083200E">
      <w:pPr>
        <w:spacing w:line="276" w:lineRule="auto"/>
      </w:pPr>
      <w:r>
        <w:t xml:space="preserve"> </w:t>
      </w:r>
    </w:p>
    <w:p w:rsidR="001D02F7" w:rsidRDefault="001D02F7" w:rsidP="0083200E">
      <w:pPr>
        <w:spacing w:line="276" w:lineRule="auto"/>
      </w:pPr>
      <w:r>
        <w:br w:type="page"/>
      </w:r>
    </w:p>
    <w:p w:rsidR="0094674D" w:rsidRPr="002669E1" w:rsidRDefault="0094674D" w:rsidP="0083200E">
      <w:pPr>
        <w:spacing w:line="276" w:lineRule="auto"/>
        <w:rPr>
          <w:b/>
          <w:sz w:val="24"/>
          <w:szCs w:val="24"/>
        </w:rPr>
      </w:pPr>
      <w:r w:rsidRPr="002669E1">
        <w:rPr>
          <w:b/>
          <w:sz w:val="24"/>
          <w:szCs w:val="24"/>
        </w:rPr>
        <w:lastRenderedPageBreak/>
        <w:t>Bijlage:        Overzicht voorgenomen wijzigingen verordeningen</w:t>
      </w:r>
    </w:p>
    <w:p w:rsidR="0094674D" w:rsidRDefault="0094674D" w:rsidP="0083200E">
      <w:pPr>
        <w:spacing w:line="276" w:lineRule="auto"/>
        <w:rPr>
          <w:b/>
        </w:rPr>
      </w:pPr>
    </w:p>
    <w:p w:rsidR="0094674D" w:rsidRDefault="0094674D" w:rsidP="0083200E">
      <w:pPr>
        <w:spacing w:line="276" w:lineRule="auto"/>
        <w:rPr>
          <w:b/>
        </w:rPr>
      </w:pPr>
    </w:p>
    <w:p w:rsidR="0094674D" w:rsidRPr="002669E1" w:rsidRDefault="0094674D" w:rsidP="0083200E">
      <w:pPr>
        <w:spacing w:after="120" w:line="276" w:lineRule="auto"/>
        <w:contextualSpacing w:val="0"/>
        <w:rPr>
          <w:b/>
          <w:i/>
        </w:rPr>
      </w:pPr>
      <w:r w:rsidRPr="002669E1">
        <w:rPr>
          <w:b/>
          <w:i/>
        </w:rPr>
        <w:t>1. Re-integratieverordening</w:t>
      </w:r>
    </w:p>
    <w:p w:rsidR="002669E1" w:rsidRPr="002669E1" w:rsidRDefault="00F928C6" w:rsidP="0083200E">
      <w:pPr>
        <w:spacing w:after="80" w:line="276" w:lineRule="auto"/>
        <w:rPr>
          <w:u w:val="single"/>
        </w:rPr>
      </w:pPr>
      <w:r>
        <w:rPr>
          <w:u w:val="single"/>
        </w:rPr>
        <w:t>Artikel 13</w:t>
      </w:r>
      <w:r w:rsidR="002669E1" w:rsidRPr="002669E1">
        <w:rPr>
          <w:u w:val="single"/>
        </w:rPr>
        <w:t>: Scholing</w:t>
      </w:r>
    </w:p>
    <w:p w:rsidR="002669E1" w:rsidRDefault="002669E1" w:rsidP="0083200E">
      <w:pPr>
        <w:spacing w:after="80" w:line="276" w:lineRule="auto"/>
        <w:contextualSpacing w:val="0"/>
      </w:pPr>
      <w:r>
        <w:t>Om de kans op werk voor de doelgroep te vergroten wordt de huidige bepaling opgerekt: naast 27-plussers zonder startkwalificatie is een scholingstraject in de gewijzigde verordening ook mogelijk voor 27-plussers met een startkwalificatie. Voorwaarde voor deze laatste doelgroep is dat er sprake is van een concrete baankans.</w:t>
      </w:r>
    </w:p>
    <w:p w:rsidR="002669E1" w:rsidRPr="002669E1" w:rsidRDefault="00F928C6" w:rsidP="0083200E">
      <w:pPr>
        <w:spacing w:line="276" w:lineRule="auto"/>
        <w:rPr>
          <w:u w:val="single"/>
        </w:rPr>
      </w:pPr>
      <w:r>
        <w:rPr>
          <w:u w:val="single"/>
        </w:rPr>
        <w:t>Artikel 15</w:t>
      </w:r>
      <w:r w:rsidR="002669E1" w:rsidRPr="002669E1">
        <w:rPr>
          <w:u w:val="single"/>
        </w:rPr>
        <w:t>: Beschut werk</w:t>
      </w:r>
    </w:p>
    <w:p w:rsidR="00EC71C4" w:rsidRDefault="002669E1" w:rsidP="0083200E">
      <w:pPr>
        <w:spacing w:after="0" w:line="276" w:lineRule="auto"/>
        <w:rPr>
          <w:rFonts w:cs="Arial"/>
          <w:szCs w:val="20"/>
        </w:rPr>
      </w:pPr>
      <w:r>
        <w:t>Per 1 januari 2017 zijn gemeenten verplicht om beschut werk aan te bieden. Eind 2016 heeft de Tweede kamer ingestemd met een wetsvoorstel hierover, omdat uit onderzoek van de Inspectie SZW is gebleken dat het aantal gerealiseerde beschut werkplekken in Nederland ac</w:t>
      </w:r>
      <w:r w:rsidR="00EC71C4">
        <w:t>hterbleef bij de verwachtingen: t</w:t>
      </w:r>
      <w:r w:rsidR="00EC71C4">
        <w:rPr>
          <w:rFonts w:cs="Arial"/>
          <w:szCs w:val="20"/>
        </w:rPr>
        <w:t>ot halverwege</w:t>
      </w:r>
      <w:r w:rsidR="00EC71C4" w:rsidRPr="00A66D7D">
        <w:rPr>
          <w:rFonts w:cs="Arial"/>
          <w:szCs w:val="20"/>
        </w:rPr>
        <w:t xml:space="preserve"> 2016 moesten er landelijk 3200 beschutte plekken worden geboden, </w:t>
      </w:r>
      <w:r w:rsidR="00EC71C4">
        <w:rPr>
          <w:rFonts w:cs="Arial"/>
          <w:szCs w:val="20"/>
        </w:rPr>
        <w:t>terwijl</w:t>
      </w:r>
      <w:r w:rsidR="00EC71C4" w:rsidRPr="00A66D7D">
        <w:rPr>
          <w:rFonts w:cs="Arial"/>
          <w:szCs w:val="20"/>
        </w:rPr>
        <w:t xml:space="preserve"> er slechts 115 gerealiseerd</w:t>
      </w:r>
      <w:r w:rsidR="00EC71C4">
        <w:rPr>
          <w:rFonts w:cs="Arial"/>
          <w:szCs w:val="20"/>
        </w:rPr>
        <w:t xml:space="preserve"> waren</w:t>
      </w:r>
      <w:r w:rsidR="00EC71C4" w:rsidRPr="00A66D7D">
        <w:rPr>
          <w:rFonts w:cs="Arial"/>
          <w:szCs w:val="20"/>
        </w:rPr>
        <w:t>.</w:t>
      </w:r>
      <w:r w:rsidR="00A85E41">
        <w:rPr>
          <w:rFonts w:cs="Arial"/>
          <w:szCs w:val="20"/>
        </w:rPr>
        <w:t xml:space="preserve"> Gouda heeft tot eind 2016 4</w:t>
      </w:r>
      <w:r w:rsidR="00EC71C4">
        <w:rPr>
          <w:rFonts w:cs="Arial"/>
          <w:szCs w:val="20"/>
        </w:rPr>
        <w:t xml:space="preserve"> beschut werkplekken gerealiseerd.</w:t>
      </w:r>
    </w:p>
    <w:p w:rsidR="002669E1" w:rsidRDefault="002669E1" w:rsidP="0083200E">
      <w:pPr>
        <w:spacing w:after="80" w:line="276" w:lineRule="auto"/>
        <w:contextualSpacing w:val="0"/>
      </w:pPr>
      <w:r>
        <w:t xml:space="preserve">Kern van </w:t>
      </w:r>
      <w:r w:rsidR="00EC71C4">
        <w:t>de nieuwe wetgeving</w:t>
      </w:r>
      <w:r>
        <w:t xml:space="preserve"> is dat elke gemeente jaarlijks een raming ontvangt van het aantal beschut werkplekken dat zij in dat jaar moet realiseren. De raming is een weergave van de verwachte behoefte aan beschut werk. De daadwerkelijke behoefte blijkt uit het aantal positieve adviezen beschut werk dat het UWV in een jaar afgeeft. Geeft het UWV in een jaar meer positieve adviezen af dan de raming aangeeft, dan is de gemeente niet verplicht om ‘extra’ beschut werkplekken te organiseren. </w:t>
      </w:r>
      <w:r w:rsidR="00CB640B">
        <w:rPr>
          <w:rFonts w:cs="Arial"/>
          <w:szCs w:val="20"/>
        </w:rPr>
        <w:t>Nieuw is ook dat inwoners zelf een advies beschut werken bij het UWV kunnen aanvragen. Hiervoor kon alleen het college dat doen.</w:t>
      </w:r>
      <w:r w:rsidR="00CB640B">
        <w:t xml:space="preserve"> </w:t>
      </w:r>
      <w:r>
        <w:t>Omdat de middelen die Gouda jaarlijks van het Rijk ontvangt voor beschut werk gebaseerd zijn op de aantallen in de raming, is in de verordening niet opgenomen dat er extra plaatsen gerealiseerd worden</w:t>
      </w:r>
      <w:r w:rsidR="00A85E41">
        <w:t xml:space="preserve"> (lokale beleidskeuze)</w:t>
      </w:r>
      <w:r>
        <w:t>, indien de behoefte daartoe bestaat. Wel regelt de verordening dat er een passende voorziening wordt ingezet voor een persoon die niet direct op een beschut werkplek kan starten</w:t>
      </w:r>
      <w:r w:rsidR="00A85E41">
        <w:t>, bijvoorbeeld omdat het aantal plekken voor dat jaar al gerealiseerd is</w:t>
      </w:r>
      <w:r>
        <w:t>.</w:t>
      </w:r>
    </w:p>
    <w:p w:rsidR="002669E1" w:rsidRPr="002669E1" w:rsidRDefault="00F928C6" w:rsidP="0083200E">
      <w:pPr>
        <w:spacing w:line="276" w:lineRule="auto"/>
        <w:rPr>
          <w:u w:val="single"/>
        </w:rPr>
      </w:pPr>
      <w:r>
        <w:rPr>
          <w:u w:val="single"/>
        </w:rPr>
        <w:t>Artikel 19</w:t>
      </w:r>
      <w:r w:rsidR="002669E1" w:rsidRPr="002669E1">
        <w:rPr>
          <w:u w:val="single"/>
        </w:rPr>
        <w:t>: No-risk polis</w:t>
      </w:r>
    </w:p>
    <w:p w:rsidR="00DB29BD" w:rsidRDefault="002669E1" w:rsidP="0083200E">
      <w:pPr>
        <w:spacing w:after="80" w:line="276" w:lineRule="auto"/>
        <w:contextualSpacing w:val="0"/>
        <w:rPr>
          <w:rFonts w:cs="Arial"/>
          <w:szCs w:val="20"/>
        </w:rPr>
      </w:pPr>
      <w:r>
        <w:t xml:space="preserve">Sinds 1 januari 2016 zijn de voorwaarden van de no-risk polis uniform en vindt de uitvoering landelijk plaats door het UWV (vooralsnog voor de periode 2016-2020). </w:t>
      </w:r>
      <w:r w:rsidR="00DB29BD" w:rsidRPr="00377805">
        <w:rPr>
          <w:rFonts w:cs="Arial"/>
          <w:szCs w:val="20"/>
        </w:rPr>
        <w:t xml:space="preserve">De beleidsvrijheid die gemeenten hadden </w:t>
      </w:r>
      <w:r w:rsidR="00DB29BD">
        <w:rPr>
          <w:rFonts w:cs="Arial"/>
          <w:szCs w:val="20"/>
        </w:rPr>
        <w:t xml:space="preserve">ten aanzien van de duur en de hoogte van de no-risk polis </w:t>
      </w:r>
      <w:r w:rsidR="00DB29BD" w:rsidRPr="00377805">
        <w:rPr>
          <w:rFonts w:cs="Arial"/>
          <w:szCs w:val="20"/>
        </w:rPr>
        <w:t>komt hiermee te vervallen.</w:t>
      </w:r>
      <w:r w:rsidR="00DB29BD">
        <w:rPr>
          <w:rFonts w:cs="Arial"/>
          <w:szCs w:val="20"/>
        </w:rPr>
        <w:t xml:space="preserve"> Deze bepalingen zijn uit de verordening verwijderd.</w:t>
      </w:r>
    </w:p>
    <w:p w:rsidR="002669E1" w:rsidRPr="002669E1" w:rsidRDefault="00F928C6" w:rsidP="0083200E">
      <w:pPr>
        <w:spacing w:after="80" w:line="276" w:lineRule="auto"/>
        <w:contextualSpacing w:val="0"/>
        <w:rPr>
          <w:u w:val="single"/>
        </w:rPr>
      </w:pPr>
      <w:r>
        <w:rPr>
          <w:u w:val="single"/>
        </w:rPr>
        <w:t>Artikel 21</w:t>
      </w:r>
      <w:r w:rsidR="002669E1" w:rsidRPr="002669E1">
        <w:rPr>
          <w:u w:val="single"/>
        </w:rPr>
        <w:t>: Loonkostensubsidie</w:t>
      </w:r>
    </w:p>
    <w:p w:rsidR="002669E1" w:rsidRDefault="002669E1" w:rsidP="0083200E">
      <w:pPr>
        <w:spacing w:after="80" w:line="276" w:lineRule="auto"/>
        <w:contextualSpacing w:val="0"/>
      </w:pPr>
      <w:r>
        <w:t xml:space="preserve">Sinds juli 2016 hebben gemeenten de mogelijkheid om gedurende maximaal de eerste zes maanden van een dienstverband een forfaitaire loonkostensubsidie van 50% aan te bieden (in plaats van loonkostensubsidie op basis van loonwaarde). Doel is om een dienstverband sneller tot stand te brengen. De wetgeving is per 1 januari 2017 geformaliseerd, maar gemeenten konden al vanaf juli anticiperen op deze maatregel. In Gouda wordt sinds eind 2016 gebruik gemaakt van deze mogelijkheid. In de verordening is de mogelijkheid tot het inzetten van de forfaitaire loonkostensubsidie nu ook formeel geregeld. </w:t>
      </w:r>
    </w:p>
    <w:p w:rsidR="002669E1" w:rsidRPr="002669E1" w:rsidRDefault="00F928C6" w:rsidP="0083200E">
      <w:pPr>
        <w:spacing w:line="276" w:lineRule="auto"/>
        <w:rPr>
          <w:u w:val="single"/>
        </w:rPr>
      </w:pPr>
      <w:r>
        <w:rPr>
          <w:u w:val="single"/>
        </w:rPr>
        <w:t>Artikel 22</w:t>
      </w:r>
      <w:r w:rsidR="002669E1" w:rsidRPr="002669E1">
        <w:rPr>
          <w:u w:val="single"/>
        </w:rPr>
        <w:t>: Uitstroompremie</w:t>
      </w:r>
    </w:p>
    <w:p w:rsidR="0094674D" w:rsidRDefault="002669E1" w:rsidP="0083200E">
      <w:pPr>
        <w:spacing w:line="276" w:lineRule="auto"/>
      </w:pPr>
      <w:r>
        <w:t>De uitstroompremie voor bijstandsgerechtigden die na meer dan 1 jaar bijstandsafhankelijkheid alsnog uitstromen naar werk wordt volgens de huidige bepalingen alleen op aanvraag verstrekt. Omdat de uitstroompremie lang niet door iedereen wordt aangevraagd en omdat het administratief efficiënter is, wordt in de verordening opgenomen dat de uitstroompremie ambtshalve wordt verstrekt in plaats van op aanvraag, zoals in de huidige verordening is opgenomen.</w:t>
      </w:r>
    </w:p>
    <w:p w:rsidR="0094674D" w:rsidRDefault="0094674D" w:rsidP="0083200E">
      <w:pPr>
        <w:spacing w:line="276" w:lineRule="auto"/>
      </w:pPr>
    </w:p>
    <w:p w:rsidR="00770E17" w:rsidRDefault="00770E17" w:rsidP="0083200E">
      <w:pPr>
        <w:spacing w:line="276" w:lineRule="auto"/>
      </w:pPr>
    </w:p>
    <w:p w:rsidR="0094674D" w:rsidRPr="002669E1" w:rsidRDefault="0094674D" w:rsidP="0083200E">
      <w:pPr>
        <w:spacing w:line="276" w:lineRule="auto"/>
        <w:rPr>
          <w:b/>
          <w:i/>
        </w:rPr>
      </w:pPr>
      <w:r w:rsidRPr="002669E1">
        <w:rPr>
          <w:b/>
          <w:i/>
        </w:rPr>
        <w:lastRenderedPageBreak/>
        <w:t>2. Afstemmingsverordening</w:t>
      </w:r>
    </w:p>
    <w:p w:rsidR="0094674D" w:rsidRDefault="0094674D" w:rsidP="0083200E">
      <w:pPr>
        <w:spacing w:line="276" w:lineRule="auto"/>
      </w:pPr>
      <w:r w:rsidRPr="00BA5BE5">
        <w:t xml:space="preserve">Per 1 januari 2016 is de Wet taaleis geïntroduceerd in de Participatiewet (artikel 18b). Deze wet regelt dat iedere bijstandsgerechtigde zich moet inspannen om de Nederlandse taal minimaal op het niveau van groep 8 van de basisschool (niveau 1F) te beheersen. </w:t>
      </w:r>
      <w:r>
        <w:t xml:space="preserve">U bent hierover in april 2016 geïnformeerd. </w:t>
      </w:r>
    </w:p>
    <w:p w:rsidR="0094674D" w:rsidRDefault="0094674D" w:rsidP="0083200E">
      <w:pPr>
        <w:spacing w:line="276" w:lineRule="auto"/>
      </w:pPr>
      <w:r w:rsidRPr="00BA5BE5">
        <w:t>De Wet taaleis</w:t>
      </w:r>
      <w:r>
        <w:t xml:space="preserve"> bevat een medewerkingsverplichting, </w:t>
      </w:r>
      <w:r w:rsidRPr="00BA5BE5">
        <w:t>om mee te werken aan een taaltoets om</w:t>
      </w:r>
      <w:r>
        <w:t xml:space="preserve"> het taalniveau vast te stellen, en een inspanningsverplichting, </w:t>
      </w:r>
      <w:r w:rsidRPr="00BA5BE5">
        <w:t>voor het leren van de Nederlandse taal indien het taalniveau onvoldoende is. Met betrekking tot de inspanningsverplichting bevat de wet een vast verlagingsregime, voor het geval iemand zich onvoldoende inspant om de taal te leren. De wet voorziet echter niet in een afstemmingsmogelijkheid voor het geval een persoon zonder geldige reden niet verschijnt bij de taaltoets om het taalniveau vast te stellen. Om te voorkomen</w:t>
      </w:r>
      <w:r>
        <w:t xml:space="preserve"> dat dit onbedoeld een stimulans vormt</w:t>
      </w:r>
      <w:r w:rsidRPr="00B2718E">
        <w:t xml:space="preserve"> om het vaststellen van de taalvaardigheid en daarmee de toepassing van de taaleis te frustreren</w:t>
      </w:r>
      <w:r>
        <w:t>,</w:t>
      </w:r>
      <w:r w:rsidRPr="00BA5BE5">
        <w:t xml:space="preserve"> is in de a</w:t>
      </w:r>
      <w:r w:rsidR="00D3411B">
        <w:t>fstemmingsverordening artikel 6a</w:t>
      </w:r>
      <w:r w:rsidRPr="00BA5BE5">
        <w:t xml:space="preserve"> opgenomen, om afstemming bij het niet verschijnen op de taaltoets mogelijk te maken. Hiervoor is aansluiting gezocht bij het wettelijk verlagingsregime zoals dat geldt voor de inspanningsverplichting voor de taaleis.</w:t>
      </w:r>
    </w:p>
    <w:p w:rsidR="0094674D" w:rsidRDefault="0094674D" w:rsidP="0083200E">
      <w:pPr>
        <w:spacing w:line="276" w:lineRule="auto"/>
      </w:pPr>
    </w:p>
    <w:p w:rsidR="0094674D" w:rsidRPr="002669E1" w:rsidRDefault="0094674D" w:rsidP="0083200E">
      <w:pPr>
        <w:spacing w:line="276" w:lineRule="auto"/>
        <w:rPr>
          <w:b/>
          <w:i/>
        </w:rPr>
      </w:pPr>
      <w:r w:rsidRPr="002669E1">
        <w:rPr>
          <w:b/>
          <w:i/>
        </w:rPr>
        <w:t>3. Verordening verrekening bestuurlijke boete bij recidive</w:t>
      </w:r>
      <w:r w:rsidR="0064227D">
        <w:rPr>
          <w:b/>
          <w:i/>
        </w:rPr>
        <w:t xml:space="preserve"> (ter informatie)</w:t>
      </w:r>
    </w:p>
    <w:p w:rsidR="0094674D" w:rsidRDefault="0094674D" w:rsidP="0083200E">
      <w:pPr>
        <w:spacing w:line="276" w:lineRule="auto"/>
      </w:pPr>
      <w:r>
        <w:t>Deze verordening is in zijn geheel komen te vervallen</w:t>
      </w:r>
      <w:r w:rsidRPr="001934EF">
        <w:t xml:space="preserve"> per 1 januari 2017</w:t>
      </w:r>
      <w:r>
        <w:t>, vanwege een herziening van de Fraudewet in 2016. Tot 1 januari 2017 hadden</w:t>
      </w:r>
      <w:r w:rsidRPr="001934EF">
        <w:t xml:space="preserve"> gemeenten de mogelijkheid om in het geval van recidive bij schending van de inlichtingenplicht gedurende max. 3 maanden geen rekening te houden met de beslagvrije voet bij het verrekenen van de bestuurlijke boe</w:t>
      </w:r>
      <w:r>
        <w:t>te. Gouda had deze maximale termijn ook in de verordening opgenomen. Op grond van de gewijzigde F</w:t>
      </w:r>
      <w:r w:rsidRPr="001934EF">
        <w:t xml:space="preserve">raudewet </w:t>
      </w:r>
      <w:r>
        <w:t xml:space="preserve">dient per 1 januari 2017 echter </w:t>
      </w:r>
      <w:r w:rsidRPr="001934EF">
        <w:t>altijd rekening te worden gehouden met de besl</w:t>
      </w:r>
      <w:r>
        <w:t>agvrije voet.</w:t>
      </w:r>
      <w:r w:rsidR="00D14C8C">
        <w:t xml:space="preserve"> Gemeenten hebben hierdoor geen vrijheid meer om lokale beleidskeuzes te maken.</w:t>
      </w:r>
      <w:r>
        <w:t xml:space="preserve"> De verordening komt</w:t>
      </w:r>
      <w:r w:rsidRPr="001934EF">
        <w:t xml:space="preserve"> hiermee te vervallen.</w:t>
      </w:r>
    </w:p>
    <w:p w:rsidR="0094674D" w:rsidRDefault="0094674D" w:rsidP="0083200E">
      <w:pPr>
        <w:spacing w:line="276" w:lineRule="auto"/>
        <w:rPr>
          <w:b/>
        </w:rPr>
      </w:pPr>
    </w:p>
    <w:p w:rsidR="0094674D" w:rsidRPr="002669E1" w:rsidRDefault="0094674D" w:rsidP="0083200E">
      <w:pPr>
        <w:spacing w:line="276" w:lineRule="auto"/>
        <w:rPr>
          <w:b/>
          <w:i/>
        </w:rPr>
      </w:pPr>
      <w:r w:rsidRPr="002669E1">
        <w:rPr>
          <w:b/>
          <w:i/>
        </w:rPr>
        <w:t>4. Verordening persoonsgebonden budget begeleid werken Wsw</w:t>
      </w:r>
    </w:p>
    <w:p w:rsidR="0040294C" w:rsidRPr="00377805" w:rsidRDefault="0040294C" w:rsidP="0083200E">
      <w:pPr>
        <w:spacing w:after="0" w:line="276" w:lineRule="auto"/>
        <w:rPr>
          <w:rFonts w:cs="Arial"/>
          <w:szCs w:val="20"/>
        </w:rPr>
      </w:pPr>
      <w:r w:rsidRPr="00377805">
        <w:rPr>
          <w:rFonts w:cs="Arial"/>
          <w:szCs w:val="20"/>
        </w:rPr>
        <w:t xml:space="preserve">Op grond van de Wsw zijn gemeenten per 1 januari 2015 niet meer verplicht een verordening pgb begeleid werken Wsw te hebben. Om de mogelijkheid voor Wsw-geïndiceerden om met een pgb begeleid werken te realiseren te behouden heeft Gouda ervoor gekozen de verordening in stand te houden. Hiertoe heeft de raad eind 2015 de verordening voor dit pgb vastgesteld (voorheen viel dit onder de GR). Daarbij is de toezegging gedaan aan de raad dat bekeken wordt in hoeverre het mogelijk is de voorwaarden uit de verordening zo veel mogelijk te harmoniseren met de reguliere re-integratieverordening voor de doelgroep Participatiewet. De voorzieningen die vanuit het pgb bekostigd kunnen worden om begeleid werken mogelijk te maken (begeleiding op de werkplek, werkplekaanpassing en een subsidie voor de loonkosten) zijn vanuit de Participatiewet ook beschikbaar voor de doelgroep bijstandsgerechtigden. De voorzieningen voor beide doelgroepen zijn daarom geharmoniseerd in de gewijzigde re-integratieverordening, waarmee tegemoet is gekomen aan de wens van de gemeenteraad. </w:t>
      </w:r>
    </w:p>
    <w:p w:rsidR="002669E1" w:rsidRDefault="002669E1" w:rsidP="0083200E">
      <w:pPr>
        <w:spacing w:line="276" w:lineRule="auto"/>
      </w:pPr>
    </w:p>
    <w:p w:rsidR="00DC5C66" w:rsidRDefault="0094674D" w:rsidP="0083200E">
      <w:pPr>
        <w:spacing w:after="120" w:line="276" w:lineRule="auto"/>
        <w:contextualSpacing w:val="0"/>
        <w:rPr>
          <w:b/>
          <w:i/>
        </w:rPr>
      </w:pPr>
      <w:r w:rsidRPr="002669E1">
        <w:rPr>
          <w:b/>
          <w:i/>
        </w:rPr>
        <w:t>5. Re-integratieregeling</w:t>
      </w:r>
    </w:p>
    <w:p w:rsidR="0040294C" w:rsidRPr="0040294C" w:rsidRDefault="0040294C" w:rsidP="0083200E">
      <w:pPr>
        <w:spacing w:line="276" w:lineRule="auto"/>
        <w:rPr>
          <w:u w:val="single"/>
        </w:rPr>
      </w:pPr>
      <w:r w:rsidRPr="0040294C">
        <w:rPr>
          <w:u w:val="single"/>
        </w:rPr>
        <w:t>Artikel 1: Werkervaringsplaats</w:t>
      </w:r>
    </w:p>
    <w:p w:rsidR="0040294C" w:rsidRDefault="0040294C" w:rsidP="0083200E">
      <w:pPr>
        <w:spacing w:after="80" w:line="276" w:lineRule="auto"/>
        <w:contextualSpacing w:val="0"/>
      </w:pPr>
      <w:r>
        <w:t>Het betreft hier een technische wijziging. De duur van een werkervaringsplaats is veranderd van maximaal 6 maanden naar maximaal 3 maanden. Wel blijft de optie bestaan om de werkervaringsplaats eenmalig te verlengen met een periode van maximaal 3 maanden.</w:t>
      </w:r>
    </w:p>
    <w:p w:rsidR="0040294C" w:rsidRPr="0040294C" w:rsidRDefault="00CB640B" w:rsidP="0083200E">
      <w:pPr>
        <w:spacing w:line="276" w:lineRule="auto"/>
        <w:rPr>
          <w:u w:val="single"/>
        </w:rPr>
      </w:pPr>
      <w:r>
        <w:rPr>
          <w:u w:val="single"/>
        </w:rPr>
        <w:t>Artikel 2: B</w:t>
      </w:r>
      <w:r w:rsidR="0040294C" w:rsidRPr="0040294C">
        <w:rPr>
          <w:u w:val="single"/>
        </w:rPr>
        <w:t>eschut werk</w:t>
      </w:r>
    </w:p>
    <w:p w:rsidR="0040294C" w:rsidRDefault="0040294C" w:rsidP="0083200E">
      <w:pPr>
        <w:spacing w:after="80" w:line="276" w:lineRule="auto"/>
        <w:contextualSpacing w:val="0"/>
      </w:pPr>
      <w:r>
        <w:t>Het aantal beschut werkplekken dat Gouda jaarlijks moet organiseren wordt met de nieuwe wetgeving omtrent beschut werk vanaf 1 januari 2017 wettelijk bepaald. Een budgetplafond heeft daarmee geen toegevoegde waarde. Het aantal beschut werkplekken dat Gouda jaarlijks organiseert en het budgetplafond zijn daarom uit de regeling verwijderd.</w:t>
      </w:r>
    </w:p>
    <w:p w:rsidR="0040294C" w:rsidRPr="0040294C" w:rsidRDefault="00CB640B" w:rsidP="0083200E">
      <w:pPr>
        <w:spacing w:line="276" w:lineRule="auto"/>
        <w:rPr>
          <w:u w:val="single"/>
        </w:rPr>
      </w:pPr>
      <w:r>
        <w:rPr>
          <w:u w:val="single"/>
        </w:rPr>
        <w:lastRenderedPageBreak/>
        <w:t>Artikel 6: W</w:t>
      </w:r>
      <w:r w:rsidR="0040294C" w:rsidRPr="0040294C">
        <w:rPr>
          <w:u w:val="single"/>
        </w:rPr>
        <w:t>erkgeverspremie</w:t>
      </w:r>
    </w:p>
    <w:p w:rsidR="0040294C" w:rsidRDefault="0040294C" w:rsidP="0083200E">
      <w:pPr>
        <w:spacing w:after="80" w:line="276" w:lineRule="auto"/>
        <w:contextualSpacing w:val="0"/>
      </w:pPr>
      <w:r>
        <w:t>Het aantal uren waarover een uitzendbureau recht heeft op een werkgeverspremie wanneer hij iemand uit de doelgroep in dienst neemt, wordt verhoogd van 800 naar 1.100. Dit doen we in verband met de opbouw van WW rechten. Met 1.100 uur komt een persoon die 40 uur werkt per week ruim aan de wettelijke WW vereiste, namelijk da</w:t>
      </w:r>
      <w:r w:rsidR="00CB640B">
        <w:t>t er</w:t>
      </w:r>
      <w:r>
        <w:t xml:space="preserve"> minimaal 26 weken gewerkt moet </w:t>
      </w:r>
      <w:r w:rsidR="00CB640B">
        <w:t>zijn</w:t>
      </w:r>
      <w:r>
        <w:t xml:space="preserve"> (26 x 40 uur = 1.040 uur).</w:t>
      </w:r>
    </w:p>
    <w:p w:rsidR="0040294C" w:rsidRPr="0040294C" w:rsidRDefault="0040294C" w:rsidP="0083200E">
      <w:pPr>
        <w:spacing w:line="276" w:lineRule="auto"/>
        <w:rPr>
          <w:u w:val="single"/>
        </w:rPr>
      </w:pPr>
      <w:r w:rsidRPr="0040294C">
        <w:rPr>
          <w:u w:val="single"/>
        </w:rPr>
        <w:t>Artikel</w:t>
      </w:r>
      <w:r w:rsidR="00410296">
        <w:rPr>
          <w:u w:val="single"/>
        </w:rPr>
        <w:t xml:space="preserve"> 7</w:t>
      </w:r>
      <w:r w:rsidR="00CB640B">
        <w:rPr>
          <w:u w:val="single"/>
        </w:rPr>
        <w:t>: L</w:t>
      </w:r>
      <w:r w:rsidRPr="0040294C">
        <w:rPr>
          <w:u w:val="single"/>
        </w:rPr>
        <w:t>oonkostensubsidie</w:t>
      </w:r>
    </w:p>
    <w:p w:rsidR="0040294C" w:rsidRPr="0040294C" w:rsidRDefault="0040294C" w:rsidP="0083200E">
      <w:pPr>
        <w:spacing w:line="276" w:lineRule="auto"/>
      </w:pPr>
      <w:r>
        <w:t xml:space="preserve">Dit artikel is nieuw in de regeling en bevat een uitwerking van de voorwaarden van de forfaitaire loonkostensubsidie die gemeenten sinds juli 2016 kunnen inzetten en die ook in de re-integratieverordening is opgenomen (artikel). De forfaitaire loonkostensubsidie kan alleen worden ingezet indien er een </w:t>
      </w:r>
      <w:r w:rsidR="00CB640B">
        <w:t>dienstverband</w:t>
      </w:r>
      <w:r>
        <w:t xml:space="preserve"> van minimaal 12 maanden wordt aangeboden.</w:t>
      </w:r>
    </w:p>
    <w:sectPr w:rsidR="0040294C" w:rsidRPr="0040294C" w:rsidSect="00A90C3B">
      <w:headerReference w:type="default" r:id="rId8"/>
      <w:footerReference w:type="even" r:id="rId9"/>
      <w:footerReference w:type="default" r:id="rId10"/>
      <w:headerReference w:type="first" r:id="rId11"/>
      <w:footerReference w:type="first" r:id="rId12"/>
      <w:pgSz w:w="11906" w:h="16838"/>
      <w:pgMar w:top="397" w:right="851" w:bottom="2268" w:left="1418" w:header="39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9EA" w:rsidRDefault="006609EA">
      <w:pPr>
        <w:spacing w:after="0"/>
      </w:pPr>
      <w:r>
        <w:separator/>
      </w:r>
    </w:p>
  </w:endnote>
  <w:endnote w:type="continuationSeparator" w:id="0">
    <w:p w:rsidR="006609EA" w:rsidRDefault="006609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E41" w:rsidRDefault="00A85E41">
    <w:pPr>
      <w:pStyle w:val="Voettekst"/>
    </w:pPr>
  </w:p>
  <w:p w:rsidR="00A85E41" w:rsidRDefault="00A85E41">
    <w:r>
      <w:rPr>
        <w:rFonts w:eastAsia="Times New Roman"/>
        <w:szCs w:val="24"/>
        <w:lang w:bidi="en-US"/>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E41" w:rsidRPr="002C420D" w:rsidRDefault="00282067" w:rsidP="00A90C3B">
    <w:pPr>
      <w:pStyle w:val="GDAVoettekstpaginanummerafstand"/>
    </w:pPr>
    <w:r>
      <w:rPr>
        <w:noProof/>
        <w:lang w:eastAsia="nl-NL"/>
      </w:rPr>
      <mc:AlternateContent>
        <mc:Choice Requires="wps">
          <w:drawing>
            <wp:anchor distT="0" distB="0" distL="114300" distR="114300" simplePos="0" relativeHeight="251656704" behindDoc="0" locked="0" layoutInCell="1" allowOverlap="1">
              <wp:simplePos x="0" y="0"/>
              <wp:positionH relativeFrom="page">
                <wp:posOffset>853440</wp:posOffset>
              </wp:positionH>
              <wp:positionV relativeFrom="page">
                <wp:posOffset>10318750</wp:posOffset>
              </wp:positionV>
              <wp:extent cx="3886200" cy="228600"/>
              <wp:effectExtent l="0" t="3175" r="381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228600"/>
                      </a:xfrm>
                      <a:prstGeom prst="rect">
                        <a:avLst/>
                      </a:prstGeom>
                      <a:solidFill>
                        <a:srgbClr val="FF393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9A738" id="Rectangle 1" o:spid="_x0000_s1026" style="position:absolute;margin-left:67.2pt;margin-top:812.5pt;width:306pt;height:1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" fillcolor="#ff3932" stroked="f">
              <w10:wrap anchorx="page" anchory="page"/>
            </v:rect>
          </w:pict>
        </mc:Fallback>
      </mc:AlternateContent>
    </w:r>
    <w:r w:rsidR="00A85E41">
      <w:tab/>
    </w:r>
    <w:r w:rsidR="00A85E41" w:rsidRPr="002C420D">
      <w:t xml:space="preserve">pagina </w:t>
    </w:r>
    <w:r w:rsidR="009F2C07">
      <w:fldChar w:fldCharType="begin"/>
    </w:r>
    <w:r w:rsidR="009F2C07">
      <w:instrText xml:space="preserve"> PAGE   \* MERGEFORMAT </w:instrText>
    </w:r>
    <w:r w:rsidR="009F2C07">
      <w:fldChar w:fldCharType="separate"/>
    </w:r>
    <w:r w:rsidR="00353E6F">
      <w:rPr>
        <w:noProof/>
      </w:rPr>
      <w:t>2</w:t>
    </w:r>
    <w:r w:rsidR="009F2C0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E41" w:rsidRDefault="00282067">
    <w:pPr>
      <w:pStyle w:val="Voettekst"/>
    </w:pPr>
    <w:r>
      <w:rPr>
        <w:noProof/>
        <w:lang w:eastAsia="nl-NL"/>
      </w:rPr>
      <mc:AlternateContent>
        <mc:Choice Requires="wps">
          <w:drawing>
            <wp:anchor distT="0" distB="0" distL="114300" distR="114300" simplePos="0" relativeHeight="251657728" behindDoc="1" locked="0" layoutInCell="1" allowOverlap="1">
              <wp:simplePos x="0" y="0"/>
              <wp:positionH relativeFrom="page">
                <wp:posOffset>791845</wp:posOffset>
              </wp:positionH>
              <wp:positionV relativeFrom="page">
                <wp:posOffset>9829165</wp:posOffset>
              </wp:positionV>
              <wp:extent cx="6324600" cy="638175"/>
              <wp:effectExtent l="1270" t="0"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638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571" w:type="dxa"/>
                            <w:tblCellMar>
                              <w:left w:w="0" w:type="dxa"/>
                              <w:right w:w="70" w:type="dxa"/>
                            </w:tblCellMar>
                            <w:tblLook w:val="0000" w:firstRow="0" w:lastRow="0" w:firstColumn="0" w:lastColumn="0" w:noHBand="0" w:noVBand="0"/>
                          </w:tblPr>
                          <w:tblGrid>
                            <w:gridCol w:w="684"/>
                            <w:gridCol w:w="5333"/>
                            <w:gridCol w:w="735"/>
                            <w:gridCol w:w="2819"/>
                          </w:tblGrid>
                          <w:tr w:rsidR="00A85E41" w:rsidRPr="00D07D3C" w:rsidTr="00A90C3B">
                            <w:tc>
                              <w:tcPr>
                                <w:tcW w:w="640" w:type="dxa"/>
                                <w:vAlign w:val="bottom"/>
                              </w:tcPr>
                              <w:p w:rsidR="00A85E41" w:rsidRPr="00D07D3C" w:rsidRDefault="00A85E41" w:rsidP="00A90C3B">
                                <w:pPr>
                                  <w:pStyle w:val="GDAVoettekstreferentieGeenafstand"/>
                                  <w:rPr>
                                    <w:lang w:eastAsia="en-US"/>
                                  </w:rPr>
                                </w:pPr>
                                <w:r w:rsidRPr="00D07D3C">
                                  <w:rPr>
                                    <w:lang w:eastAsia="en-US"/>
                                  </w:rPr>
                                  <w:t>Bijlagen:</w:t>
                                </w:r>
                              </w:p>
                              <w:p w:rsidR="00A85E41" w:rsidRPr="00D07D3C" w:rsidRDefault="00A85E41" w:rsidP="00A90C3B">
                                <w:pPr>
                                  <w:pStyle w:val="GDAVoettekstreferentieGeenafstand"/>
                                  <w:rPr>
                                    <w:lang w:eastAsia="en-US"/>
                                  </w:rPr>
                                </w:pPr>
                              </w:p>
                            </w:tc>
                            <w:tc>
                              <w:tcPr>
                                <w:tcW w:w="5846" w:type="dxa"/>
                                <w:vAlign w:val="bottom"/>
                              </w:tcPr>
                              <w:p w:rsidR="00A85E41" w:rsidRPr="00D07D3C" w:rsidRDefault="00A85E41" w:rsidP="00A90C3B">
                                <w:pPr>
                                  <w:pStyle w:val="GDAVoettekstreferentieGeenafstand"/>
                                  <w:rPr>
                                    <w:lang w:eastAsia="en-US"/>
                                  </w:rPr>
                                </w:pPr>
                              </w:p>
                              <w:p w:rsidR="00A85E41" w:rsidRPr="00D07D3C" w:rsidRDefault="00A85E41" w:rsidP="00A90C3B">
                                <w:pPr>
                                  <w:pStyle w:val="GDAVoettekstreferentieGeenafstand"/>
                                  <w:rPr>
                                    <w:lang w:eastAsia="en-US"/>
                                  </w:rPr>
                                </w:pPr>
                              </w:p>
                            </w:tc>
                            <w:tc>
                              <w:tcPr>
                                <w:tcW w:w="799" w:type="dxa"/>
                              </w:tcPr>
                              <w:p w:rsidR="00A85E41" w:rsidRPr="003F6FDD" w:rsidRDefault="00A85E41" w:rsidP="00A90C3B">
                                <w:pPr>
                                  <w:pStyle w:val="GDAVoettekstreferentieGeenafstand"/>
                                  <w:rPr>
                                    <w:rFonts w:cs="Arial"/>
                                    <w:szCs w:val="20"/>
                                  </w:rPr>
                                </w:pPr>
                              </w:p>
                            </w:tc>
                            <w:tc>
                              <w:tcPr>
                                <w:tcW w:w="2909" w:type="dxa"/>
                                <w:tcMar>
                                  <w:left w:w="0" w:type="dxa"/>
                                </w:tcMar>
                                <w:vAlign w:val="bottom"/>
                              </w:tcPr>
                              <w:p w:rsidR="00A85E41" w:rsidRPr="00D07D3C" w:rsidRDefault="00A85E41" w:rsidP="00A90C3B">
                                <w:pPr>
                                  <w:pStyle w:val="GDAVoettekstreferentieGeenafstand"/>
                                </w:pPr>
                                <w:r w:rsidRPr="00D07D3C">
                                  <w:t>Postbus 1086, 2800 BB Gouda</w:t>
                                </w:r>
                              </w:p>
                              <w:p w:rsidR="00A85E41" w:rsidRPr="00D07D3C" w:rsidRDefault="00A85E41" w:rsidP="00A90C3B">
                                <w:pPr>
                                  <w:pStyle w:val="GDAVoettekstreferentieGeenafstand"/>
                                </w:pPr>
                                <w:r w:rsidRPr="00D07D3C">
                                  <w:t>telefoon  14 0182</w:t>
                                </w:r>
                              </w:p>
                              <w:p w:rsidR="00A85E41" w:rsidRPr="00D07D3C" w:rsidRDefault="00A85E41" w:rsidP="00A90C3B">
                                <w:pPr>
                                  <w:pStyle w:val="GDAVoettekstreferentieGeenafstand"/>
                                </w:pPr>
                                <w:r w:rsidRPr="00D07D3C">
                                  <w:t>e-mail </w:t>
                                </w:r>
                                <w:hyperlink r:id="rId1" w:history="1">
                                  <w:r w:rsidRPr="00D07D3C">
                                    <w:rPr>
                                      <w:rStyle w:val="Hyperlink"/>
                                      <w:lang w:eastAsia="en-US"/>
                                    </w:rPr>
                                    <w:t>gemeente@gouda.nl</w:t>
                                  </w:r>
                                </w:hyperlink>
                              </w:p>
                              <w:p w:rsidR="00A85E41" w:rsidRPr="00D07D3C" w:rsidRDefault="00A85E41" w:rsidP="00A90C3B">
                                <w:pPr>
                                  <w:pStyle w:val="GDAVoettekstreferentieGeenafstand"/>
                                  <w:rPr>
                                    <w:szCs w:val="20"/>
                                  </w:rPr>
                                </w:pPr>
                                <w:r w:rsidRPr="00D07D3C">
                                  <w:t xml:space="preserve">website </w:t>
                                </w:r>
                                <w:hyperlink r:id="rId2" w:history="1">
                                  <w:r w:rsidRPr="00D07D3C">
                                    <w:rPr>
                                      <w:rStyle w:val="Hyperlink"/>
                                      <w:lang w:eastAsia="en-US"/>
                                    </w:rPr>
                                    <w:t>www.gouda.nl</w:t>
                                  </w:r>
                                </w:hyperlink>
                                <w:r w:rsidRPr="00D07D3C">
                                  <w:t xml:space="preserve"> </w:t>
                                </w:r>
                              </w:p>
                            </w:tc>
                          </w:tr>
                        </w:tbl>
                        <w:p w:rsidR="00A85E41" w:rsidRDefault="00A85E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2.35pt;margin-top:773.95pt;width:498pt;height:50.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1/gwIAAA8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" stroked="f">
              <v:textbox>
                <w:txbxContent>
                  <w:tbl>
                    <w:tblPr>
                      <w:tblW w:w="9571" w:type="dxa"/>
                      <w:tblCellMar>
                        <w:left w:w="0" w:type="dxa"/>
                        <w:right w:w="70" w:type="dxa"/>
                      </w:tblCellMar>
                      <w:tblLook w:val="0000" w:firstRow="0" w:lastRow="0" w:firstColumn="0" w:lastColumn="0" w:noHBand="0" w:noVBand="0"/>
                    </w:tblPr>
                    <w:tblGrid>
                      <w:gridCol w:w="684"/>
                      <w:gridCol w:w="5333"/>
                      <w:gridCol w:w="735"/>
                      <w:gridCol w:w="2819"/>
                    </w:tblGrid>
                    <w:tr w:rsidR="00A85E41" w:rsidRPr="00D07D3C" w:rsidTr="00A90C3B">
                      <w:tc>
                        <w:tcPr>
                          <w:tcW w:w="640" w:type="dxa"/>
                          <w:vAlign w:val="bottom"/>
                        </w:tcPr>
                        <w:p w:rsidR="00A85E41" w:rsidRPr="00D07D3C" w:rsidRDefault="00A85E41" w:rsidP="00A90C3B">
                          <w:pPr>
                            <w:pStyle w:val="GDAVoettekstreferentieGeenafstand"/>
                            <w:rPr>
                              <w:lang w:eastAsia="en-US"/>
                            </w:rPr>
                          </w:pPr>
                          <w:r w:rsidRPr="00D07D3C">
                            <w:rPr>
                              <w:lang w:eastAsia="en-US"/>
                            </w:rPr>
                            <w:t>Bijlagen:</w:t>
                          </w:r>
                        </w:p>
                        <w:p w:rsidR="00A85E41" w:rsidRPr="00D07D3C" w:rsidRDefault="00A85E41" w:rsidP="00A90C3B">
                          <w:pPr>
                            <w:pStyle w:val="GDAVoettekstreferentieGeenafstand"/>
                            <w:rPr>
                              <w:lang w:eastAsia="en-US"/>
                            </w:rPr>
                          </w:pPr>
                        </w:p>
                      </w:tc>
                      <w:tc>
                        <w:tcPr>
                          <w:tcW w:w="5846" w:type="dxa"/>
                          <w:vAlign w:val="bottom"/>
                        </w:tcPr>
                        <w:p w:rsidR="00A85E41" w:rsidRPr="00D07D3C" w:rsidRDefault="00A85E41" w:rsidP="00A90C3B">
                          <w:pPr>
                            <w:pStyle w:val="GDAVoettekstreferentieGeenafstand"/>
                            <w:rPr>
                              <w:lang w:eastAsia="en-US"/>
                            </w:rPr>
                          </w:pPr>
                        </w:p>
                        <w:p w:rsidR="00A85E41" w:rsidRPr="00D07D3C" w:rsidRDefault="00A85E41" w:rsidP="00A90C3B">
                          <w:pPr>
                            <w:pStyle w:val="GDAVoettekstreferentieGeenafstand"/>
                            <w:rPr>
                              <w:lang w:eastAsia="en-US"/>
                            </w:rPr>
                          </w:pPr>
                        </w:p>
                      </w:tc>
                      <w:tc>
                        <w:tcPr>
                          <w:tcW w:w="799" w:type="dxa"/>
                        </w:tcPr>
                        <w:p w:rsidR="00A85E41" w:rsidRPr="003F6FDD" w:rsidRDefault="00A85E41" w:rsidP="00A90C3B">
                          <w:pPr>
                            <w:pStyle w:val="GDAVoettekstreferentieGeenafstand"/>
                            <w:rPr>
                              <w:rFonts w:cs="Arial"/>
                              <w:szCs w:val="20"/>
                            </w:rPr>
                          </w:pPr>
                        </w:p>
                      </w:tc>
                      <w:tc>
                        <w:tcPr>
                          <w:tcW w:w="2909" w:type="dxa"/>
                          <w:tcMar>
                            <w:left w:w="0" w:type="dxa"/>
                          </w:tcMar>
                          <w:vAlign w:val="bottom"/>
                        </w:tcPr>
                        <w:p w:rsidR="00A85E41" w:rsidRPr="00D07D3C" w:rsidRDefault="00A85E41" w:rsidP="00A90C3B">
                          <w:pPr>
                            <w:pStyle w:val="GDAVoettekstreferentieGeenafstand"/>
                          </w:pPr>
                          <w:r w:rsidRPr="00D07D3C">
                            <w:t>Postbus 1086, 2800 BB Gouda</w:t>
                          </w:r>
                        </w:p>
                        <w:p w:rsidR="00A85E41" w:rsidRPr="00D07D3C" w:rsidRDefault="00A85E41" w:rsidP="00A90C3B">
                          <w:pPr>
                            <w:pStyle w:val="GDAVoettekstreferentieGeenafstand"/>
                          </w:pPr>
                          <w:r w:rsidRPr="00D07D3C">
                            <w:t>telefoon  14 0182</w:t>
                          </w:r>
                        </w:p>
                        <w:p w:rsidR="00A85E41" w:rsidRPr="00D07D3C" w:rsidRDefault="00A85E41" w:rsidP="00A90C3B">
                          <w:pPr>
                            <w:pStyle w:val="GDAVoettekstreferentieGeenafstand"/>
                          </w:pPr>
                          <w:r w:rsidRPr="00D07D3C">
                            <w:t>e-mail </w:t>
                          </w:r>
                          <w:hyperlink r:id="rId3" w:history="1">
                            <w:r w:rsidRPr="00D07D3C">
                              <w:rPr>
                                <w:rStyle w:val="Hyperlink"/>
                                <w:lang w:eastAsia="en-US"/>
                              </w:rPr>
                              <w:t>gemeente@gouda.nl</w:t>
                            </w:r>
                          </w:hyperlink>
                        </w:p>
                        <w:p w:rsidR="00A85E41" w:rsidRPr="00D07D3C" w:rsidRDefault="00A85E41" w:rsidP="00A90C3B">
                          <w:pPr>
                            <w:pStyle w:val="GDAVoettekstreferentieGeenafstand"/>
                            <w:rPr>
                              <w:szCs w:val="20"/>
                            </w:rPr>
                          </w:pPr>
                          <w:r w:rsidRPr="00D07D3C">
                            <w:t xml:space="preserve">website </w:t>
                          </w:r>
                          <w:hyperlink r:id="rId4" w:history="1">
                            <w:r w:rsidRPr="00D07D3C">
                              <w:rPr>
                                <w:rStyle w:val="Hyperlink"/>
                                <w:lang w:eastAsia="en-US"/>
                              </w:rPr>
                              <w:t>www.gouda.nl</w:t>
                            </w:r>
                          </w:hyperlink>
                          <w:r w:rsidRPr="00D07D3C">
                            <w:t xml:space="preserve"> </w:t>
                          </w:r>
                        </w:p>
                      </w:tc>
                    </w:tr>
                  </w:tbl>
                  <w:p w:rsidR="00A85E41" w:rsidRDefault="00A85E41"/>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9EA" w:rsidRDefault="006609EA">
      <w:pPr>
        <w:spacing w:after="0"/>
      </w:pPr>
      <w:r>
        <w:separator/>
      </w:r>
    </w:p>
  </w:footnote>
  <w:footnote w:type="continuationSeparator" w:id="0">
    <w:p w:rsidR="006609EA" w:rsidRDefault="006609E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E41" w:rsidRPr="00010B44" w:rsidRDefault="00A85E41" w:rsidP="00A90C3B">
    <w:pPr>
      <w:pStyle w:val="Koptekst"/>
      <w:jc w:val="both"/>
    </w:pPr>
  </w:p>
  <w:p w:rsidR="00A85E41" w:rsidRPr="007C43A0" w:rsidRDefault="00A85E41" w:rsidP="00A90C3B">
    <w:pPr>
      <w:pStyle w:val="Koptekst"/>
      <w:jc w:val="right"/>
    </w:pPr>
  </w:p>
  <w:p w:rsidR="00A85E41" w:rsidRPr="007C43A0" w:rsidRDefault="00A85E41" w:rsidP="00A90C3B">
    <w:pPr>
      <w:pStyle w:val="Koptekst"/>
      <w:jc w:val="right"/>
    </w:pPr>
  </w:p>
  <w:p w:rsidR="00A85E41" w:rsidRPr="007C43A0" w:rsidRDefault="00A85E41" w:rsidP="00A90C3B">
    <w:pPr>
      <w:pStyle w:val="Koptekst"/>
      <w:jc w:val="right"/>
    </w:pPr>
  </w:p>
  <w:p w:rsidR="00A85E41" w:rsidRPr="007C43A0" w:rsidRDefault="00A85E41" w:rsidP="00A90C3B">
    <w:pPr>
      <w:pStyle w:val="Koptekst"/>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E41" w:rsidRDefault="00A85E41">
    <w:pPr>
      <w:pStyle w:val="Koptekst"/>
    </w:pPr>
  </w:p>
  <w:p w:rsidR="00A85E41" w:rsidRDefault="00A85E4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801C6"/>
    <w:multiLevelType w:val="hybridMultilevel"/>
    <w:tmpl w:val="52E47956"/>
    <w:lvl w:ilvl="0" w:tplc="04130011">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C054E27"/>
    <w:multiLevelType w:val="hybridMultilevel"/>
    <w:tmpl w:val="7BFA9F26"/>
    <w:lvl w:ilvl="0" w:tplc="04130015">
      <w:start w:val="10"/>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66096C"/>
    <w:multiLevelType w:val="hybridMultilevel"/>
    <w:tmpl w:val="8EDC22D6"/>
    <w:lvl w:ilvl="0" w:tplc="E3C0F69E">
      <w:start w:val="21"/>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B742C2E"/>
    <w:multiLevelType w:val="hybridMultilevel"/>
    <w:tmpl w:val="DBBAEE7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302B1B7A"/>
    <w:multiLevelType w:val="hybridMultilevel"/>
    <w:tmpl w:val="76DC730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3A324930"/>
    <w:multiLevelType w:val="hybridMultilevel"/>
    <w:tmpl w:val="2C1A31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7BB69B6"/>
    <w:multiLevelType w:val="hybridMultilevel"/>
    <w:tmpl w:val="0AD8575A"/>
    <w:lvl w:ilvl="0" w:tplc="729C4E20">
      <w:start w:val="1"/>
      <w:numFmt w:val="decimal"/>
      <w:lvlText w:val="(%1)"/>
      <w:lvlJc w:val="left"/>
      <w:pPr>
        <w:ind w:left="360" w:hanging="360"/>
      </w:pPr>
      <w:rPr>
        <w:rFonts w:hint="default"/>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691D4BB4"/>
    <w:multiLevelType w:val="hybridMultilevel"/>
    <w:tmpl w:val="232A8E2E"/>
    <w:lvl w:ilvl="0" w:tplc="04130015">
      <w:start w:val="10"/>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EF444F8"/>
    <w:multiLevelType w:val="hybridMultilevel"/>
    <w:tmpl w:val="290C0D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6"/>
  </w:num>
  <w:num w:numId="3">
    <w:abstractNumId w:val="8"/>
  </w:num>
  <w:num w:numId="4">
    <w:abstractNumId w:val="5"/>
  </w:num>
  <w:num w:numId="5">
    <w:abstractNumId w:val="7"/>
  </w:num>
  <w:num w:numId="6">
    <w:abstractNumId w:val="1"/>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2F7"/>
    <w:rsid w:val="00075F50"/>
    <w:rsid w:val="000A6C91"/>
    <w:rsid w:val="000D35D2"/>
    <w:rsid w:val="001001E8"/>
    <w:rsid w:val="00124613"/>
    <w:rsid w:val="0017019F"/>
    <w:rsid w:val="001934EF"/>
    <w:rsid w:val="001D02F7"/>
    <w:rsid w:val="001F5FF5"/>
    <w:rsid w:val="002669E1"/>
    <w:rsid w:val="00282067"/>
    <w:rsid w:val="002A4190"/>
    <w:rsid w:val="002D44C6"/>
    <w:rsid w:val="002F7F2F"/>
    <w:rsid w:val="0032199F"/>
    <w:rsid w:val="00353E6F"/>
    <w:rsid w:val="00355F95"/>
    <w:rsid w:val="00361BBE"/>
    <w:rsid w:val="0039493E"/>
    <w:rsid w:val="003D7DA4"/>
    <w:rsid w:val="003E075C"/>
    <w:rsid w:val="003E7F4B"/>
    <w:rsid w:val="003F6638"/>
    <w:rsid w:val="0040294C"/>
    <w:rsid w:val="00410296"/>
    <w:rsid w:val="0042380B"/>
    <w:rsid w:val="00437589"/>
    <w:rsid w:val="00445DD4"/>
    <w:rsid w:val="00450A4C"/>
    <w:rsid w:val="00473FE6"/>
    <w:rsid w:val="004B6E23"/>
    <w:rsid w:val="00505FFD"/>
    <w:rsid w:val="00534763"/>
    <w:rsid w:val="00537785"/>
    <w:rsid w:val="0058494A"/>
    <w:rsid w:val="005860E4"/>
    <w:rsid w:val="005D24AF"/>
    <w:rsid w:val="005E30E7"/>
    <w:rsid w:val="0064227D"/>
    <w:rsid w:val="006609EA"/>
    <w:rsid w:val="0068036D"/>
    <w:rsid w:val="00704E97"/>
    <w:rsid w:val="00710D0D"/>
    <w:rsid w:val="00750215"/>
    <w:rsid w:val="00770E17"/>
    <w:rsid w:val="00790023"/>
    <w:rsid w:val="007A5978"/>
    <w:rsid w:val="00800101"/>
    <w:rsid w:val="008141C9"/>
    <w:rsid w:val="0083200E"/>
    <w:rsid w:val="008627DE"/>
    <w:rsid w:val="00894298"/>
    <w:rsid w:val="008C1A3A"/>
    <w:rsid w:val="008C2814"/>
    <w:rsid w:val="009129C0"/>
    <w:rsid w:val="009332D8"/>
    <w:rsid w:val="0094505C"/>
    <w:rsid w:val="0094674D"/>
    <w:rsid w:val="009948DB"/>
    <w:rsid w:val="009A058C"/>
    <w:rsid w:val="009A2547"/>
    <w:rsid w:val="009C55D8"/>
    <w:rsid w:val="009F2C07"/>
    <w:rsid w:val="009F34B9"/>
    <w:rsid w:val="00A2154D"/>
    <w:rsid w:val="00A51B42"/>
    <w:rsid w:val="00A85E41"/>
    <w:rsid w:val="00A90C3B"/>
    <w:rsid w:val="00AC54F6"/>
    <w:rsid w:val="00B01574"/>
    <w:rsid w:val="00B060A8"/>
    <w:rsid w:val="00B566C2"/>
    <w:rsid w:val="00B71F3F"/>
    <w:rsid w:val="00B96D62"/>
    <w:rsid w:val="00BA5BE5"/>
    <w:rsid w:val="00BD5A8E"/>
    <w:rsid w:val="00BE18F3"/>
    <w:rsid w:val="00BF6833"/>
    <w:rsid w:val="00C019D7"/>
    <w:rsid w:val="00C15210"/>
    <w:rsid w:val="00C766AB"/>
    <w:rsid w:val="00CB640B"/>
    <w:rsid w:val="00D00718"/>
    <w:rsid w:val="00D07D3C"/>
    <w:rsid w:val="00D14C8C"/>
    <w:rsid w:val="00D30C2D"/>
    <w:rsid w:val="00D3411B"/>
    <w:rsid w:val="00DB29BD"/>
    <w:rsid w:val="00DC5C66"/>
    <w:rsid w:val="00E071CC"/>
    <w:rsid w:val="00E072D7"/>
    <w:rsid w:val="00E276CC"/>
    <w:rsid w:val="00E7226D"/>
    <w:rsid w:val="00EB6401"/>
    <w:rsid w:val="00EC71C4"/>
    <w:rsid w:val="00EE056C"/>
    <w:rsid w:val="00EF1DF1"/>
    <w:rsid w:val="00F452D7"/>
    <w:rsid w:val="00F46443"/>
    <w:rsid w:val="00F73A43"/>
    <w:rsid w:val="00F82D80"/>
    <w:rsid w:val="00F928C6"/>
    <w:rsid w:val="00FC4098"/>
    <w:rsid w:val="00FD205C"/>
    <w:rsid w:val="00FE37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B8B94"/>
  <w15:docId w15:val="{EDAFC58F-D18E-4B40-B08E-149FA6099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rsid w:val="001D02F7"/>
    <w:pPr>
      <w:spacing w:after="200"/>
      <w:contextualSpacing/>
    </w:pPr>
    <w:rPr>
      <w:rFonts w:ascii="Arial" w:hAnsi="Arial"/>
      <w:szCs w:val="22"/>
      <w:lang w:eastAsia="en-US"/>
    </w:rPr>
  </w:style>
  <w:style w:type="paragraph" w:styleId="Kop1">
    <w:name w:val="heading 1"/>
    <w:basedOn w:val="Standaard"/>
    <w:next w:val="Standaard"/>
    <w:link w:val="Kop1Char"/>
    <w:uiPriority w:val="9"/>
    <w:qFormat/>
    <w:rsid w:val="0094505C"/>
    <w:pPr>
      <w:keepNext/>
      <w:spacing w:before="240" w:after="60"/>
      <w:outlineLvl w:val="0"/>
    </w:pPr>
    <w:rPr>
      <w:rFonts w:ascii="Cambria" w:eastAsia="Times New Roman" w:hAnsi="Cambria"/>
      <w:b/>
      <w:bCs/>
      <w:kern w:val="32"/>
      <w:sz w:val="32"/>
      <w:szCs w:val="32"/>
    </w:rPr>
  </w:style>
  <w:style w:type="paragraph" w:styleId="Kop2">
    <w:name w:val="heading 2"/>
    <w:basedOn w:val="Standaard"/>
    <w:next w:val="Standaard"/>
    <w:link w:val="Kop2Char"/>
    <w:uiPriority w:val="9"/>
    <w:semiHidden/>
    <w:unhideWhenUsed/>
    <w:qFormat/>
    <w:rsid w:val="0094505C"/>
    <w:pPr>
      <w:keepNext/>
      <w:spacing w:before="240" w:after="60"/>
      <w:outlineLvl w:val="1"/>
    </w:pPr>
    <w:rPr>
      <w:rFonts w:ascii="Cambria" w:eastAsia="Times New Roman" w:hAnsi="Cambria"/>
      <w:b/>
      <w:bCs/>
      <w:i/>
      <w:iCs/>
      <w:sz w:val="28"/>
      <w:szCs w:val="28"/>
    </w:rPr>
  </w:style>
  <w:style w:type="paragraph" w:styleId="Kop3">
    <w:name w:val="heading 3"/>
    <w:basedOn w:val="Standaard"/>
    <w:next w:val="Standaard"/>
    <w:link w:val="Kop3Char"/>
    <w:uiPriority w:val="9"/>
    <w:semiHidden/>
    <w:unhideWhenUsed/>
    <w:qFormat/>
    <w:rsid w:val="0094505C"/>
    <w:pPr>
      <w:keepNext/>
      <w:spacing w:before="240" w:after="60"/>
      <w:outlineLvl w:val="2"/>
    </w:pPr>
    <w:rPr>
      <w:rFonts w:ascii="Cambria" w:eastAsia="Times New Roman" w:hAnsi="Cambria"/>
      <w:b/>
      <w:bCs/>
      <w:sz w:val="26"/>
      <w:szCs w:val="26"/>
    </w:rPr>
  </w:style>
  <w:style w:type="paragraph" w:styleId="Kop4">
    <w:name w:val="heading 4"/>
    <w:basedOn w:val="Standaard"/>
    <w:next w:val="Standaard"/>
    <w:link w:val="Kop4Char"/>
    <w:uiPriority w:val="9"/>
    <w:semiHidden/>
    <w:unhideWhenUsed/>
    <w:qFormat/>
    <w:rsid w:val="0094505C"/>
    <w:pPr>
      <w:keepNext/>
      <w:spacing w:before="240" w:after="60"/>
      <w:outlineLvl w:val="3"/>
    </w:pPr>
    <w:rPr>
      <w:b/>
      <w:bCs/>
      <w:sz w:val="28"/>
      <w:szCs w:val="28"/>
    </w:rPr>
  </w:style>
  <w:style w:type="paragraph" w:styleId="Kop5">
    <w:name w:val="heading 5"/>
    <w:basedOn w:val="Standaard"/>
    <w:next w:val="Standaard"/>
    <w:link w:val="Kop5Char"/>
    <w:uiPriority w:val="9"/>
    <w:semiHidden/>
    <w:unhideWhenUsed/>
    <w:qFormat/>
    <w:rsid w:val="0094505C"/>
    <w:pPr>
      <w:spacing w:before="240" w:after="60"/>
      <w:outlineLvl w:val="4"/>
    </w:pPr>
    <w:rPr>
      <w:b/>
      <w:bCs/>
      <w:i/>
      <w:iCs/>
      <w:sz w:val="26"/>
      <w:szCs w:val="26"/>
    </w:rPr>
  </w:style>
  <w:style w:type="paragraph" w:styleId="Kop6">
    <w:name w:val="heading 6"/>
    <w:basedOn w:val="Standaard"/>
    <w:next w:val="Standaard"/>
    <w:link w:val="Kop6Char"/>
    <w:uiPriority w:val="9"/>
    <w:semiHidden/>
    <w:unhideWhenUsed/>
    <w:qFormat/>
    <w:rsid w:val="0094505C"/>
    <w:pPr>
      <w:spacing w:before="240" w:after="60"/>
      <w:outlineLvl w:val="5"/>
    </w:pPr>
    <w:rPr>
      <w:b/>
      <w:bCs/>
      <w:sz w:val="22"/>
    </w:rPr>
  </w:style>
  <w:style w:type="paragraph" w:styleId="Kop7">
    <w:name w:val="heading 7"/>
    <w:basedOn w:val="Standaard"/>
    <w:next w:val="Standaard"/>
    <w:link w:val="Kop7Char"/>
    <w:uiPriority w:val="9"/>
    <w:semiHidden/>
    <w:unhideWhenUsed/>
    <w:qFormat/>
    <w:rsid w:val="0094505C"/>
    <w:pPr>
      <w:spacing w:before="240" w:after="60"/>
      <w:outlineLvl w:val="6"/>
    </w:pPr>
  </w:style>
  <w:style w:type="paragraph" w:styleId="Kop8">
    <w:name w:val="heading 8"/>
    <w:basedOn w:val="Standaard"/>
    <w:next w:val="Standaard"/>
    <w:link w:val="Kop8Char"/>
    <w:uiPriority w:val="9"/>
    <w:semiHidden/>
    <w:unhideWhenUsed/>
    <w:qFormat/>
    <w:rsid w:val="0094505C"/>
    <w:pPr>
      <w:spacing w:before="240" w:after="60"/>
      <w:outlineLvl w:val="7"/>
    </w:pPr>
    <w:rPr>
      <w:i/>
      <w:iCs/>
    </w:rPr>
  </w:style>
  <w:style w:type="paragraph" w:styleId="Kop9">
    <w:name w:val="heading 9"/>
    <w:basedOn w:val="Standaard"/>
    <w:next w:val="Standaard"/>
    <w:link w:val="Kop9Char"/>
    <w:uiPriority w:val="9"/>
    <w:semiHidden/>
    <w:unhideWhenUsed/>
    <w:qFormat/>
    <w:rsid w:val="0094505C"/>
    <w:pPr>
      <w:spacing w:before="240" w:after="60"/>
      <w:outlineLvl w:val="8"/>
    </w:pPr>
    <w:rPr>
      <w:rFonts w:ascii="Cambria" w:eastAsia="Times New Roman" w:hAnsi="Cambria"/>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4505C"/>
    <w:rPr>
      <w:rFonts w:ascii="Cambria" w:eastAsia="Times New Roman" w:hAnsi="Cambria"/>
      <w:b/>
      <w:bCs/>
      <w:kern w:val="32"/>
      <w:sz w:val="32"/>
      <w:szCs w:val="32"/>
    </w:rPr>
  </w:style>
  <w:style w:type="character" w:customStyle="1" w:styleId="Kop2Char">
    <w:name w:val="Kop 2 Char"/>
    <w:basedOn w:val="Standaardalinea-lettertype"/>
    <w:link w:val="Kop2"/>
    <w:uiPriority w:val="9"/>
    <w:semiHidden/>
    <w:rsid w:val="0094505C"/>
    <w:rPr>
      <w:rFonts w:ascii="Cambria" w:eastAsia="Times New Roman" w:hAnsi="Cambria"/>
      <w:b/>
      <w:bCs/>
      <w:i/>
      <w:iCs/>
      <w:sz w:val="28"/>
      <w:szCs w:val="28"/>
    </w:rPr>
  </w:style>
  <w:style w:type="character" w:customStyle="1" w:styleId="Kop3Char">
    <w:name w:val="Kop 3 Char"/>
    <w:basedOn w:val="Standaardalinea-lettertype"/>
    <w:link w:val="Kop3"/>
    <w:uiPriority w:val="9"/>
    <w:semiHidden/>
    <w:rsid w:val="0094505C"/>
    <w:rPr>
      <w:rFonts w:ascii="Cambria" w:eastAsia="Times New Roman" w:hAnsi="Cambria"/>
      <w:b/>
      <w:bCs/>
      <w:sz w:val="26"/>
      <w:szCs w:val="26"/>
    </w:rPr>
  </w:style>
  <w:style w:type="character" w:customStyle="1" w:styleId="Kop4Char">
    <w:name w:val="Kop 4 Char"/>
    <w:basedOn w:val="Standaardalinea-lettertype"/>
    <w:link w:val="Kop4"/>
    <w:uiPriority w:val="9"/>
    <w:rsid w:val="0094505C"/>
    <w:rPr>
      <w:b/>
      <w:bCs/>
      <w:sz w:val="28"/>
      <w:szCs w:val="28"/>
    </w:rPr>
  </w:style>
  <w:style w:type="character" w:customStyle="1" w:styleId="Kop5Char">
    <w:name w:val="Kop 5 Char"/>
    <w:basedOn w:val="Standaardalinea-lettertype"/>
    <w:link w:val="Kop5"/>
    <w:uiPriority w:val="9"/>
    <w:semiHidden/>
    <w:rsid w:val="0094505C"/>
    <w:rPr>
      <w:b/>
      <w:bCs/>
      <w:i/>
      <w:iCs/>
      <w:sz w:val="26"/>
      <w:szCs w:val="26"/>
    </w:rPr>
  </w:style>
  <w:style w:type="character" w:customStyle="1" w:styleId="Kop6Char">
    <w:name w:val="Kop 6 Char"/>
    <w:basedOn w:val="Standaardalinea-lettertype"/>
    <w:link w:val="Kop6"/>
    <w:uiPriority w:val="9"/>
    <w:semiHidden/>
    <w:rsid w:val="0094505C"/>
    <w:rPr>
      <w:b/>
      <w:bCs/>
    </w:rPr>
  </w:style>
  <w:style w:type="character" w:customStyle="1" w:styleId="Kop7Char">
    <w:name w:val="Kop 7 Char"/>
    <w:basedOn w:val="Standaardalinea-lettertype"/>
    <w:link w:val="Kop7"/>
    <w:uiPriority w:val="9"/>
    <w:semiHidden/>
    <w:rsid w:val="0094505C"/>
    <w:rPr>
      <w:sz w:val="24"/>
      <w:szCs w:val="24"/>
    </w:rPr>
  </w:style>
  <w:style w:type="character" w:customStyle="1" w:styleId="Kop8Char">
    <w:name w:val="Kop 8 Char"/>
    <w:basedOn w:val="Standaardalinea-lettertype"/>
    <w:link w:val="Kop8"/>
    <w:uiPriority w:val="9"/>
    <w:semiHidden/>
    <w:rsid w:val="0094505C"/>
    <w:rPr>
      <w:i/>
      <w:iCs/>
      <w:sz w:val="24"/>
      <w:szCs w:val="24"/>
    </w:rPr>
  </w:style>
  <w:style w:type="character" w:customStyle="1" w:styleId="Kop9Char">
    <w:name w:val="Kop 9 Char"/>
    <w:basedOn w:val="Standaardalinea-lettertype"/>
    <w:link w:val="Kop9"/>
    <w:uiPriority w:val="9"/>
    <w:semiHidden/>
    <w:rsid w:val="0094505C"/>
    <w:rPr>
      <w:rFonts w:ascii="Cambria" w:eastAsia="Times New Roman" w:hAnsi="Cambria"/>
    </w:rPr>
  </w:style>
  <w:style w:type="paragraph" w:styleId="Titel">
    <w:name w:val="Title"/>
    <w:basedOn w:val="Standaard"/>
    <w:next w:val="Standaard"/>
    <w:link w:val="TitelChar"/>
    <w:uiPriority w:val="10"/>
    <w:qFormat/>
    <w:rsid w:val="0094505C"/>
    <w:pPr>
      <w:spacing w:before="240" w:after="60"/>
      <w:jc w:val="center"/>
      <w:outlineLvl w:val="0"/>
    </w:pPr>
    <w:rPr>
      <w:rFonts w:ascii="Cambria" w:eastAsia="Times New Roman" w:hAnsi="Cambria"/>
      <w:b/>
      <w:bCs/>
      <w:kern w:val="28"/>
      <w:sz w:val="32"/>
      <w:szCs w:val="32"/>
    </w:rPr>
  </w:style>
  <w:style w:type="character" w:customStyle="1" w:styleId="TitelChar">
    <w:name w:val="Titel Char"/>
    <w:basedOn w:val="Standaardalinea-lettertype"/>
    <w:link w:val="Titel"/>
    <w:uiPriority w:val="10"/>
    <w:rsid w:val="0094505C"/>
    <w:rPr>
      <w:rFonts w:ascii="Cambria" w:eastAsia="Times New Roman" w:hAnsi="Cambria"/>
      <w:b/>
      <w:bCs/>
      <w:kern w:val="28"/>
      <w:sz w:val="32"/>
      <w:szCs w:val="32"/>
    </w:rPr>
  </w:style>
  <w:style w:type="paragraph" w:styleId="Ondertitel">
    <w:name w:val="Subtitle"/>
    <w:basedOn w:val="Standaard"/>
    <w:next w:val="Standaard"/>
    <w:link w:val="OndertitelChar"/>
    <w:uiPriority w:val="11"/>
    <w:qFormat/>
    <w:rsid w:val="0094505C"/>
    <w:pPr>
      <w:spacing w:after="60"/>
      <w:jc w:val="center"/>
      <w:outlineLvl w:val="1"/>
    </w:pPr>
    <w:rPr>
      <w:rFonts w:ascii="Cambria" w:eastAsia="Times New Roman" w:hAnsi="Cambria"/>
    </w:rPr>
  </w:style>
  <w:style w:type="character" w:customStyle="1" w:styleId="OndertitelChar">
    <w:name w:val="Ondertitel Char"/>
    <w:basedOn w:val="Standaardalinea-lettertype"/>
    <w:link w:val="Ondertitel"/>
    <w:uiPriority w:val="11"/>
    <w:rsid w:val="0094505C"/>
    <w:rPr>
      <w:rFonts w:ascii="Cambria" w:eastAsia="Times New Roman" w:hAnsi="Cambria"/>
      <w:sz w:val="24"/>
      <w:szCs w:val="24"/>
    </w:rPr>
  </w:style>
  <w:style w:type="character" w:styleId="Zwaar">
    <w:name w:val="Strong"/>
    <w:basedOn w:val="Standaardalinea-lettertype"/>
    <w:uiPriority w:val="22"/>
    <w:qFormat/>
    <w:rsid w:val="0094505C"/>
    <w:rPr>
      <w:b/>
      <w:bCs/>
    </w:rPr>
  </w:style>
  <w:style w:type="character" w:styleId="Nadruk">
    <w:name w:val="Emphasis"/>
    <w:basedOn w:val="Standaardalinea-lettertype"/>
    <w:uiPriority w:val="20"/>
    <w:qFormat/>
    <w:rsid w:val="0094505C"/>
    <w:rPr>
      <w:rFonts w:ascii="Calibri" w:hAnsi="Calibri"/>
      <w:b/>
      <w:i/>
      <w:iCs/>
    </w:rPr>
  </w:style>
  <w:style w:type="paragraph" w:styleId="Geenafstand">
    <w:name w:val="No Spacing"/>
    <w:basedOn w:val="Standaard"/>
    <w:uiPriority w:val="1"/>
    <w:qFormat/>
    <w:rsid w:val="0094505C"/>
    <w:rPr>
      <w:szCs w:val="32"/>
    </w:rPr>
  </w:style>
  <w:style w:type="paragraph" w:styleId="Lijstalinea">
    <w:name w:val="List Paragraph"/>
    <w:basedOn w:val="Standaard"/>
    <w:link w:val="LijstalineaChar"/>
    <w:uiPriority w:val="34"/>
    <w:qFormat/>
    <w:rsid w:val="0094505C"/>
    <w:pPr>
      <w:ind w:left="720"/>
    </w:pPr>
  </w:style>
  <w:style w:type="paragraph" w:styleId="Citaat">
    <w:name w:val="Quote"/>
    <w:basedOn w:val="Standaard"/>
    <w:next w:val="Standaard"/>
    <w:link w:val="CitaatChar"/>
    <w:uiPriority w:val="29"/>
    <w:qFormat/>
    <w:rsid w:val="0094505C"/>
    <w:rPr>
      <w:i/>
    </w:rPr>
  </w:style>
  <w:style w:type="character" w:customStyle="1" w:styleId="CitaatChar">
    <w:name w:val="Citaat Char"/>
    <w:basedOn w:val="Standaardalinea-lettertype"/>
    <w:link w:val="Citaat"/>
    <w:uiPriority w:val="29"/>
    <w:rsid w:val="0094505C"/>
    <w:rPr>
      <w:i/>
      <w:sz w:val="24"/>
      <w:szCs w:val="24"/>
    </w:rPr>
  </w:style>
  <w:style w:type="paragraph" w:styleId="Duidelijkcitaat">
    <w:name w:val="Intense Quote"/>
    <w:basedOn w:val="Standaard"/>
    <w:next w:val="Standaard"/>
    <w:link w:val="DuidelijkcitaatChar"/>
    <w:uiPriority w:val="30"/>
    <w:qFormat/>
    <w:rsid w:val="0094505C"/>
    <w:pPr>
      <w:ind w:left="720" w:right="720"/>
    </w:pPr>
    <w:rPr>
      <w:b/>
      <w:i/>
    </w:rPr>
  </w:style>
  <w:style w:type="character" w:customStyle="1" w:styleId="DuidelijkcitaatChar">
    <w:name w:val="Duidelijk citaat Char"/>
    <w:basedOn w:val="Standaardalinea-lettertype"/>
    <w:link w:val="Duidelijkcitaat"/>
    <w:uiPriority w:val="30"/>
    <w:rsid w:val="0094505C"/>
    <w:rPr>
      <w:b/>
      <w:i/>
      <w:sz w:val="24"/>
    </w:rPr>
  </w:style>
  <w:style w:type="character" w:styleId="Subtielebenadrukking">
    <w:name w:val="Subtle Emphasis"/>
    <w:uiPriority w:val="19"/>
    <w:qFormat/>
    <w:rsid w:val="0094505C"/>
    <w:rPr>
      <w:i/>
      <w:color w:val="5A5A5A"/>
    </w:rPr>
  </w:style>
  <w:style w:type="character" w:styleId="Intensievebenadrukking">
    <w:name w:val="Intense Emphasis"/>
    <w:basedOn w:val="Standaardalinea-lettertype"/>
    <w:uiPriority w:val="21"/>
    <w:qFormat/>
    <w:rsid w:val="0094505C"/>
    <w:rPr>
      <w:b/>
      <w:i/>
      <w:sz w:val="24"/>
      <w:szCs w:val="24"/>
      <w:u w:val="single"/>
    </w:rPr>
  </w:style>
  <w:style w:type="character" w:styleId="Subtieleverwijzing">
    <w:name w:val="Subtle Reference"/>
    <w:basedOn w:val="Standaardalinea-lettertype"/>
    <w:uiPriority w:val="31"/>
    <w:qFormat/>
    <w:rsid w:val="0094505C"/>
    <w:rPr>
      <w:sz w:val="24"/>
      <w:szCs w:val="24"/>
      <w:u w:val="single"/>
    </w:rPr>
  </w:style>
  <w:style w:type="character" w:styleId="Intensieveverwijzing">
    <w:name w:val="Intense Reference"/>
    <w:basedOn w:val="Standaardalinea-lettertype"/>
    <w:uiPriority w:val="32"/>
    <w:qFormat/>
    <w:rsid w:val="0094505C"/>
    <w:rPr>
      <w:b/>
      <w:sz w:val="24"/>
      <w:u w:val="single"/>
    </w:rPr>
  </w:style>
  <w:style w:type="character" w:styleId="Titelvanboek">
    <w:name w:val="Book Title"/>
    <w:basedOn w:val="Standaardalinea-lettertype"/>
    <w:uiPriority w:val="33"/>
    <w:qFormat/>
    <w:rsid w:val="0094505C"/>
    <w:rPr>
      <w:rFonts w:ascii="Cambria" w:eastAsia="Times New Roman" w:hAnsi="Cambria"/>
      <w:b/>
      <w:i/>
      <w:sz w:val="24"/>
      <w:szCs w:val="24"/>
    </w:rPr>
  </w:style>
  <w:style w:type="paragraph" w:styleId="Kopvaninhoudsopgave">
    <w:name w:val="TOC Heading"/>
    <w:basedOn w:val="Kop1"/>
    <w:next w:val="Standaard"/>
    <w:uiPriority w:val="39"/>
    <w:semiHidden/>
    <w:unhideWhenUsed/>
    <w:qFormat/>
    <w:rsid w:val="0094505C"/>
    <w:pPr>
      <w:outlineLvl w:val="9"/>
    </w:pPr>
  </w:style>
  <w:style w:type="paragraph" w:styleId="Koptekst">
    <w:name w:val="header"/>
    <w:basedOn w:val="Standaard"/>
    <w:link w:val="KoptekstChar"/>
    <w:uiPriority w:val="99"/>
    <w:unhideWhenUsed/>
    <w:rsid w:val="001D02F7"/>
    <w:pPr>
      <w:tabs>
        <w:tab w:val="center" w:pos="4536"/>
        <w:tab w:val="right" w:pos="9072"/>
      </w:tabs>
      <w:spacing w:before="60" w:after="0"/>
      <w:contextualSpacing w:val="0"/>
    </w:pPr>
    <w:rPr>
      <w:sz w:val="18"/>
    </w:rPr>
  </w:style>
  <w:style w:type="character" w:customStyle="1" w:styleId="KoptekstChar">
    <w:name w:val="Koptekst Char"/>
    <w:basedOn w:val="Standaardalinea-lettertype"/>
    <w:link w:val="Koptekst"/>
    <w:uiPriority w:val="99"/>
    <w:rsid w:val="001D02F7"/>
    <w:rPr>
      <w:rFonts w:ascii="Arial" w:hAnsi="Arial" w:cs="Times New Roman"/>
      <w:sz w:val="18"/>
      <w:lang w:val="nl-NL" w:bidi="ar-SA"/>
    </w:rPr>
  </w:style>
  <w:style w:type="paragraph" w:styleId="Voettekst">
    <w:name w:val="footer"/>
    <w:basedOn w:val="Standaard"/>
    <w:link w:val="VoettekstChar"/>
    <w:uiPriority w:val="99"/>
    <w:unhideWhenUsed/>
    <w:rsid w:val="001D02F7"/>
    <w:pPr>
      <w:tabs>
        <w:tab w:val="center" w:pos="4536"/>
        <w:tab w:val="right" w:pos="9072"/>
      </w:tabs>
    </w:pPr>
  </w:style>
  <w:style w:type="character" w:customStyle="1" w:styleId="VoettekstChar">
    <w:name w:val="Voettekst Char"/>
    <w:basedOn w:val="Standaardalinea-lettertype"/>
    <w:link w:val="Voettekst"/>
    <w:uiPriority w:val="99"/>
    <w:rsid w:val="001D02F7"/>
    <w:rPr>
      <w:rFonts w:ascii="Arial" w:hAnsi="Arial" w:cs="Times New Roman"/>
      <w:sz w:val="20"/>
      <w:lang w:val="nl-NL" w:bidi="ar-SA"/>
    </w:rPr>
  </w:style>
  <w:style w:type="paragraph" w:customStyle="1" w:styleId="GDAReferentieadres">
    <w:name w:val="GDA Referentieadres"/>
    <w:basedOn w:val="Standaard"/>
    <w:qFormat/>
    <w:rsid w:val="001D02F7"/>
    <w:pPr>
      <w:snapToGrid w:val="0"/>
    </w:pPr>
  </w:style>
  <w:style w:type="paragraph" w:customStyle="1" w:styleId="GDAReferentiekop">
    <w:name w:val="GDA Referentiekop"/>
    <w:basedOn w:val="Standaard"/>
    <w:link w:val="GDAReferentiekopChar"/>
    <w:qFormat/>
    <w:rsid w:val="001D02F7"/>
  </w:style>
  <w:style w:type="character" w:customStyle="1" w:styleId="GDAReferentiekopChar">
    <w:name w:val="GDA Referentiekop Char"/>
    <w:basedOn w:val="Standaardalinea-lettertype"/>
    <w:link w:val="GDAReferentiekop"/>
    <w:rsid w:val="001D02F7"/>
    <w:rPr>
      <w:rFonts w:ascii="Arial" w:hAnsi="Arial" w:cs="Times New Roman"/>
      <w:sz w:val="20"/>
      <w:lang w:val="nl-NL" w:bidi="ar-SA"/>
    </w:rPr>
  </w:style>
  <w:style w:type="paragraph" w:customStyle="1" w:styleId="GDASubreferentiekop">
    <w:name w:val="GDA Subreferentiekop"/>
    <w:basedOn w:val="Standaard"/>
    <w:link w:val="GDASubreferentiekopChar"/>
    <w:qFormat/>
    <w:rsid w:val="001D02F7"/>
    <w:pPr>
      <w:snapToGrid w:val="0"/>
      <w:spacing w:after="0"/>
    </w:pPr>
    <w:rPr>
      <w:sz w:val="16"/>
    </w:rPr>
  </w:style>
  <w:style w:type="character" w:customStyle="1" w:styleId="GDASubreferentiekopChar">
    <w:name w:val="GDA Subreferentiekop Char"/>
    <w:basedOn w:val="Standaardalinea-lettertype"/>
    <w:link w:val="GDASubreferentiekop"/>
    <w:rsid w:val="001D02F7"/>
    <w:rPr>
      <w:rFonts w:ascii="Arial" w:hAnsi="Arial" w:cs="Times New Roman"/>
      <w:sz w:val="16"/>
      <w:lang w:val="nl-NL" w:bidi="ar-SA"/>
    </w:rPr>
  </w:style>
  <w:style w:type="paragraph" w:customStyle="1" w:styleId="GDAVoettekstpaginanummerafstand">
    <w:name w:val="GDA Voettekst paginanummer afstand"/>
    <w:link w:val="GDAVoettekstpaginanummerafstandChar"/>
    <w:qFormat/>
    <w:rsid w:val="001D02F7"/>
    <w:pPr>
      <w:tabs>
        <w:tab w:val="right" w:pos="6039"/>
      </w:tabs>
    </w:pPr>
    <w:rPr>
      <w:rFonts w:ascii="Arial" w:hAnsi="Arial"/>
      <w:sz w:val="16"/>
      <w:szCs w:val="22"/>
      <w:lang w:eastAsia="ar-SA"/>
    </w:rPr>
  </w:style>
  <w:style w:type="character" w:customStyle="1" w:styleId="GDAVoettekstpaginanummerafstandChar">
    <w:name w:val="GDA Voettekst paginanummer afstand Char"/>
    <w:link w:val="GDAVoettekstpaginanummerafstand"/>
    <w:rsid w:val="001D02F7"/>
    <w:rPr>
      <w:rFonts w:ascii="Arial" w:hAnsi="Arial"/>
      <w:sz w:val="16"/>
      <w:szCs w:val="22"/>
      <w:lang w:val="nl-NL" w:eastAsia="ar-SA" w:bidi="ar-SA"/>
    </w:rPr>
  </w:style>
  <w:style w:type="paragraph" w:customStyle="1" w:styleId="GDAVoettekstreferentieGeenafstand">
    <w:name w:val="GDA Voettekstreferentie Geen afstand"/>
    <w:link w:val="GDAVoettekstreferentieGeenafstandChar"/>
    <w:qFormat/>
    <w:rsid w:val="001D02F7"/>
    <w:pPr>
      <w:contextualSpacing/>
    </w:pPr>
    <w:rPr>
      <w:rFonts w:ascii="Arial" w:eastAsia="Times New Roman" w:hAnsi="Arial"/>
      <w:sz w:val="16"/>
      <w:szCs w:val="22"/>
    </w:rPr>
  </w:style>
  <w:style w:type="character" w:customStyle="1" w:styleId="GDAVoettekstreferentieGeenafstandChar">
    <w:name w:val="GDA Voettekstreferentie Geen afstand Char"/>
    <w:link w:val="GDAVoettekstreferentieGeenafstand"/>
    <w:rsid w:val="001D02F7"/>
    <w:rPr>
      <w:rFonts w:ascii="Arial" w:eastAsia="Times New Roman" w:hAnsi="Arial"/>
      <w:sz w:val="16"/>
      <w:szCs w:val="22"/>
      <w:lang w:val="nl-NL" w:bidi="ar-SA"/>
    </w:rPr>
  </w:style>
  <w:style w:type="character" w:styleId="Hyperlink">
    <w:name w:val="Hyperlink"/>
    <w:basedOn w:val="Standaardalinea-lettertype"/>
    <w:uiPriority w:val="99"/>
    <w:unhideWhenUsed/>
    <w:rsid w:val="001D02F7"/>
    <w:rPr>
      <w:color w:val="0000FF"/>
      <w:u w:val="single"/>
    </w:rPr>
  </w:style>
  <w:style w:type="character" w:customStyle="1" w:styleId="LijstalineaChar">
    <w:name w:val="Lijstalinea Char"/>
    <w:basedOn w:val="Standaardalinea-lettertype"/>
    <w:link w:val="Lijstalinea"/>
    <w:uiPriority w:val="34"/>
    <w:rsid w:val="001D02F7"/>
    <w:rPr>
      <w:rFonts w:ascii="Arial" w:eastAsia="Times New Roman" w:hAnsi="Arial"/>
      <w:sz w:val="20"/>
      <w:szCs w:val="24"/>
      <w:lang w:val="nl-NL"/>
    </w:rPr>
  </w:style>
  <w:style w:type="paragraph" w:customStyle="1" w:styleId="GDAStandaardafstandklein">
    <w:name w:val="GDA Standaard afstand klein"/>
    <w:link w:val="GDAStandaardafstandkleinChar"/>
    <w:qFormat/>
    <w:rsid w:val="00AC54F6"/>
    <w:pPr>
      <w:tabs>
        <w:tab w:val="left" w:pos="397"/>
      </w:tabs>
      <w:spacing w:before="60" w:after="60"/>
    </w:pPr>
    <w:rPr>
      <w:rFonts w:ascii="Arial" w:eastAsiaTheme="minorHAnsi" w:hAnsi="Arial" w:cstheme="minorBidi"/>
      <w:sz w:val="16"/>
      <w:szCs w:val="22"/>
      <w:lang w:eastAsia="en-US"/>
    </w:rPr>
  </w:style>
  <w:style w:type="character" w:customStyle="1" w:styleId="GDAStandaardafstandkleinChar">
    <w:name w:val="GDA Standaard afstand klein Char"/>
    <w:link w:val="GDAStandaardafstandklein"/>
    <w:rsid w:val="00AC54F6"/>
    <w:rPr>
      <w:rFonts w:ascii="Arial" w:eastAsiaTheme="minorHAnsi" w:hAnsi="Arial" w:cstheme="minorBidi"/>
      <w:sz w:val="16"/>
      <w:szCs w:val="22"/>
      <w:lang w:eastAsia="en-US"/>
    </w:rPr>
  </w:style>
  <w:style w:type="character" w:styleId="Verwijzingopmerking">
    <w:name w:val="annotation reference"/>
    <w:basedOn w:val="Standaardalinea-lettertype"/>
    <w:uiPriority w:val="99"/>
    <w:semiHidden/>
    <w:unhideWhenUsed/>
    <w:rsid w:val="004B6E23"/>
    <w:rPr>
      <w:sz w:val="16"/>
      <w:szCs w:val="16"/>
    </w:rPr>
  </w:style>
  <w:style w:type="paragraph" w:styleId="Tekstopmerking">
    <w:name w:val="annotation text"/>
    <w:basedOn w:val="Standaard"/>
    <w:link w:val="TekstopmerkingChar"/>
    <w:uiPriority w:val="99"/>
    <w:semiHidden/>
    <w:unhideWhenUsed/>
    <w:rsid w:val="004B6E23"/>
    <w:rPr>
      <w:szCs w:val="20"/>
    </w:rPr>
  </w:style>
  <w:style w:type="character" w:customStyle="1" w:styleId="TekstopmerkingChar">
    <w:name w:val="Tekst opmerking Char"/>
    <w:basedOn w:val="Standaardalinea-lettertype"/>
    <w:link w:val="Tekstopmerking"/>
    <w:uiPriority w:val="99"/>
    <w:semiHidden/>
    <w:rsid w:val="004B6E23"/>
    <w:rPr>
      <w:rFonts w:ascii="Arial" w:hAnsi="Arial"/>
      <w:lang w:eastAsia="en-US"/>
    </w:rPr>
  </w:style>
  <w:style w:type="paragraph" w:styleId="Onderwerpvanopmerking">
    <w:name w:val="annotation subject"/>
    <w:basedOn w:val="Tekstopmerking"/>
    <w:next w:val="Tekstopmerking"/>
    <w:link w:val="OnderwerpvanopmerkingChar"/>
    <w:uiPriority w:val="99"/>
    <w:semiHidden/>
    <w:unhideWhenUsed/>
    <w:rsid w:val="004B6E23"/>
    <w:rPr>
      <w:b/>
      <w:bCs/>
    </w:rPr>
  </w:style>
  <w:style w:type="character" w:customStyle="1" w:styleId="OnderwerpvanopmerkingChar">
    <w:name w:val="Onderwerp van opmerking Char"/>
    <w:basedOn w:val="TekstopmerkingChar"/>
    <w:link w:val="Onderwerpvanopmerking"/>
    <w:uiPriority w:val="99"/>
    <w:semiHidden/>
    <w:rsid w:val="004B6E23"/>
    <w:rPr>
      <w:rFonts w:ascii="Arial" w:hAnsi="Arial"/>
      <w:b/>
      <w:bCs/>
      <w:lang w:eastAsia="en-US"/>
    </w:rPr>
  </w:style>
  <w:style w:type="paragraph" w:styleId="Ballontekst">
    <w:name w:val="Balloon Text"/>
    <w:basedOn w:val="Standaard"/>
    <w:link w:val="BallontekstChar"/>
    <w:uiPriority w:val="99"/>
    <w:semiHidden/>
    <w:unhideWhenUsed/>
    <w:rsid w:val="004B6E23"/>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B6E2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tra.verkerk-derksen@gouda.nl"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hyperlink" Target="mailto:gemeente@gouda.nl" TargetMode="External"/><Relationship Id="rId2" Type="http://schemas.openxmlformats.org/officeDocument/2006/relationships/hyperlink" Target="http://www.gouda.nl" TargetMode="External"/><Relationship Id="rId1" Type="http://schemas.openxmlformats.org/officeDocument/2006/relationships/hyperlink" Target="mailto:gemeente@gouda.nl" TargetMode="External"/><Relationship Id="rId4" Type="http://schemas.openxmlformats.org/officeDocument/2006/relationships/hyperlink" Target="http://www.gouda.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2264</Words>
  <Characters>12452</Characters>
  <Application>Microsoft Office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
    </vt:vector>
  </TitlesOfParts>
  <Company>Gemeente Gouda</Company>
  <LinksUpToDate>false</LinksUpToDate>
  <CharactersWithSpaces>14687</CharactersWithSpaces>
  <SharedDoc>false</SharedDoc>
  <HLinks>
    <vt:vector size="12" baseType="variant">
      <vt:variant>
        <vt:i4>1638425</vt:i4>
      </vt:variant>
      <vt:variant>
        <vt:i4>3</vt:i4>
      </vt:variant>
      <vt:variant>
        <vt:i4>0</vt:i4>
      </vt:variant>
      <vt:variant>
        <vt:i4>5</vt:i4>
      </vt:variant>
      <vt:variant>
        <vt:lpwstr>http://www.gouda.nl/</vt:lpwstr>
      </vt:variant>
      <vt:variant>
        <vt:lpwstr/>
      </vt:variant>
      <vt:variant>
        <vt:i4>7340124</vt:i4>
      </vt:variant>
      <vt:variant>
        <vt:i4>0</vt:i4>
      </vt:variant>
      <vt:variant>
        <vt:i4>0</vt:i4>
      </vt:variant>
      <vt:variant>
        <vt:i4>5</vt:i4>
      </vt:variant>
      <vt:variant>
        <vt:lpwstr>mailto:gemeente@gouda.nl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Jansen</dc:creator>
  <cp:lastModifiedBy>Bob Lodder</cp:lastModifiedBy>
  <cp:revision>4</cp:revision>
  <dcterms:created xsi:type="dcterms:W3CDTF">2017-02-22T14:50:00Z</dcterms:created>
  <dcterms:modified xsi:type="dcterms:W3CDTF">2017-02-22T14:55:00Z</dcterms:modified>
</cp:coreProperties>
</file>