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5EAD" w14:textId="5DD1D4F7" w:rsidR="001F4F48" w:rsidRDefault="00301451" w:rsidP="007653A4">
      <w:pPr>
        <w:rPr>
          <w:sz w:val="56"/>
        </w:rPr>
      </w:pPr>
      <w:r>
        <w:rPr>
          <w:sz w:val="56"/>
        </w:rPr>
        <w:t xml:space="preserve">Concept </w:t>
      </w:r>
      <w:r w:rsidR="001F4F48">
        <w:rPr>
          <w:sz w:val="56"/>
        </w:rPr>
        <w:t>Kadernota Integraal</w:t>
      </w:r>
      <w:r>
        <w:rPr>
          <w:sz w:val="56"/>
        </w:rPr>
        <w:t xml:space="preserve"> Veiligheidsbeleid 2019-2022</w:t>
      </w:r>
    </w:p>
    <w:p w14:paraId="290AD2FD" w14:textId="77777777" w:rsidR="00301451" w:rsidRDefault="00301451" w:rsidP="007653A4">
      <w:pPr>
        <w:rPr>
          <w:sz w:val="56"/>
        </w:rPr>
      </w:pPr>
      <w:r>
        <w:rPr>
          <w:sz w:val="56"/>
        </w:rPr>
        <w:t>Gemeente Gouda</w:t>
      </w:r>
    </w:p>
    <w:p w14:paraId="1F4CF9F8" w14:textId="77777777" w:rsidR="00301451" w:rsidRDefault="00301451" w:rsidP="007653A4">
      <w:pPr>
        <w:rPr>
          <w:sz w:val="56"/>
        </w:rPr>
      </w:pPr>
    </w:p>
    <w:p w14:paraId="671E7290" w14:textId="77777777" w:rsidR="00301451" w:rsidRPr="00301451" w:rsidRDefault="00301451" w:rsidP="007653A4">
      <w:pPr>
        <w:rPr>
          <w:sz w:val="44"/>
          <w:szCs w:val="44"/>
        </w:rPr>
      </w:pPr>
      <w:r w:rsidRPr="00301451">
        <w:rPr>
          <w:sz w:val="44"/>
          <w:szCs w:val="44"/>
        </w:rPr>
        <w:t>Versie ter bespreking in de GASD</w:t>
      </w:r>
    </w:p>
    <w:p w14:paraId="161DE57E" w14:textId="77777777" w:rsidR="001F4F48" w:rsidRDefault="001F4F48" w:rsidP="007653A4">
      <w:pPr>
        <w:rPr>
          <w:sz w:val="56"/>
        </w:rPr>
      </w:pPr>
    </w:p>
    <w:p w14:paraId="13F9CAD3" w14:textId="3F123BDE" w:rsidR="00301451" w:rsidRDefault="00B93324" w:rsidP="007653A4">
      <w:pPr>
        <w:rPr>
          <w:sz w:val="56"/>
        </w:rPr>
      </w:pPr>
      <w:r>
        <w:rPr>
          <w:sz w:val="56"/>
        </w:rPr>
        <w:t>11</w:t>
      </w:r>
      <w:r w:rsidR="00301451">
        <w:rPr>
          <w:sz w:val="56"/>
        </w:rPr>
        <w:t xml:space="preserve"> december 2018</w:t>
      </w:r>
    </w:p>
    <w:p w14:paraId="70E6AF08" w14:textId="77777777" w:rsidR="00301451" w:rsidRDefault="00301451" w:rsidP="007653A4">
      <w:pPr>
        <w:rPr>
          <w:sz w:val="56"/>
        </w:rPr>
      </w:pPr>
    </w:p>
    <w:p w14:paraId="5CD5B074" w14:textId="77777777" w:rsidR="00301451" w:rsidRDefault="00301451" w:rsidP="007653A4">
      <w:pPr>
        <w:rPr>
          <w:sz w:val="56"/>
        </w:rPr>
      </w:pPr>
    </w:p>
    <w:p w14:paraId="0CDF375F" w14:textId="77777777" w:rsidR="00301451" w:rsidRDefault="00301451" w:rsidP="007653A4">
      <w:pPr>
        <w:rPr>
          <w:sz w:val="56"/>
        </w:rPr>
      </w:pPr>
    </w:p>
    <w:p w14:paraId="6A5BFA32" w14:textId="77777777" w:rsidR="00301451" w:rsidRDefault="00301451" w:rsidP="007653A4">
      <w:pPr>
        <w:rPr>
          <w:sz w:val="56"/>
        </w:rPr>
      </w:pPr>
    </w:p>
    <w:p w14:paraId="659A4354" w14:textId="3C44BFCF" w:rsidR="00301451" w:rsidRDefault="00301451" w:rsidP="007653A4">
      <w:pPr>
        <w:rPr>
          <w:sz w:val="56"/>
        </w:rPr>
      </w:pPr>
    </w:p>
    <w:p w14:paraId="6A15CE52" w14:textId="77777777" w:rsidR="00301451" w:rsidRDefault="00301451" w:rsidP="007653A4">
      <w:pPr>
        <w:rPr>
          <w:sz w:val="56"/>
        </w:rPr>
      </w:pPr>
    </w:p>
    <w:p w14:paraId="4F00F40A" w14:textId="77777777" w:rsidR="00B93324" w:rsidRDefault="00B93324" w:rsidP="007653A4">
      <w:pPr>
        <w:rPr>
          <w:rFonts w:eastAsiaTheme="minorHAnsi" w:cstheme="minorBidi"/>
          <w:szCs w:val="22"/>
          <w:lang w:eastAsia="en-US"/>
        </w:rPr>
      </w:pPr>
    </w:p>
    <w:p w14:paraId="619913B4" w14:textId="278D5FA1" w:rsidR="008572BE" w:rsidRDefault="00B93324" w:rsidP="007653A4">
      <w:pPr>
        <w:rPr>
          <w:rFonts w:eastAsiaTheme="minorHAnsi" w:cstheme="minorBidi"/>
          <w:szCs w:val="22"/>
          <w:lang w:eastAsia="en-US"/>
        </w:rPr>
      </w:pPr>
      <w:r>
        <w:rPr>
          <w:rFonts w:eastAsiaTheme="minorHAnsi" w:cstheme="minorBidi"/>
          <w:szCs w:val="22"/>
          <w:lang w:eastAsia="en-US"/>
        </w:rPr>
        <w:t>A</w:t>
      </w:r>
      <w:r w:rsidR="008572BE">
        <w:rPr>
          <w:rFonts w:eastAsiaTheme="minorHAnsi" w:cstheme="minorBidi"/>
          <w:szCs w:val="22"/>
          <w:lang w:eastAsia="en-US"/>
        </w:rPr>
        <w:t>dviesperiode GASD</w:t>
      </w:r>
      <w:r w:rsidR="008572BE">
        <w:rPr>
          <w:rFonts w:eastAsiaTheme="minorHAnsi" w:cstheme="minorBidi"/>
          <w:szCs w:val="22"/>
          <w:lang w:eastAsia="en-US"/>
        </w:rPr>
        <w:tab/>
      </w:r>
      <w:r w:rsidR="008572BE">
        <w:rPr>
          <w:rFonts w:eastAsiaTheme="minorHAnsi" w:cstheme="minorBidi"/>
          <w:szCs w:val="22"/>
          <w:lang w:eastAsia="en-US"/>
        </w:rPr>
        <w:tab/>
      </w:r>
      <w:r>
        <w:rPr>
          <w:rFonts w:eastAsiaTheme="minorHAnsi" w:cstheme="minorBidi"/>
          <w:szCs w:val="22"/>
          <w:lang w:eastAsia="en-US"/>
        </w:rPr>
        <w:t>8 weken (11 dec-5 februari)</w:t>
      </w:r>
    </w:p>
    <w:p w14:paraId="33135B3C" w14:textId="4FF7EB54" w:rsidR="008572BE" w:rsidRDefault="00AD04A3" w:rsidP="007653A4">
      <w:pPr>
        <w:rPr>
          <w:rFonts w:eastAsiaTheme="minorHAnsi" w:cstheme="minorBidi"/>
          <w:szCs w:val="22"/>
          <w:lang w:eastAsia="en-US"/>
        </w:rPr>
      </w:pPr>
      <w:r>
        <w:rPr>
          <w:rFonts w:eastAsiaTheme="minorHAnsi" w:cstheme="minorBidi"/>
          <w:szCs w:val="22"/>
          <w:lang w:eastAsia="en-US"/>
        </w:rPr>
        <w:t>5 maart</w:t>
      </w:r>
      <w:r w:rsidR="00FD260D">
        <w:rPr>
          <w:rFonts w:eastAsiaTheme="minorHAnsi" w:cstheme="minorBidi"/>
          <w:szCs w:val="22"/>
          <w:lang w:eastAsia="en-US"/>
        </w:rPr>
        <w:tab/>
      </w:r>
      <w:r w:rsidR="00B93324">
        <w:rPr>
          <w:rFonts w:eastAsiaTheme="minorHAnsi" w:cstheme="minorBidi"/>
          <w:szCs w:val="22"/>
          <w:lang w:eastAsia="en-US"/>
        </w:rPr>
        <w:t xml:space="preserve"> 2019</w:t>
      </w:r>
      <w:r w:rsidR="00FD260D">
        <w:rPr>
          <w:rFonts w:eastAsiaTheme="minorHAnsi" w:cstheme="minorBidi"/>
          <w:szCs w:val="22"/>
          <w:lang w:eastAsia="en-US"/>
        </w:rPr>
        <w:tab/>
      </w:r>
      <w:r w:rsidR="008572BE">
        <w:rPr>
          <w:rFonts w:eastAsiaTheme="minorHAnsi" w:cstheme="minorBidi"/>
          <w:szCs w:val="22"/>
          <w:lang w:eastAsia="en-US"/>
        </w:rPr>
        <w:tab/>
      </w:r>
      <w:r w:rsidR="008572BE">
        <w:rPr>
          <w:rFonts w:eastAsiaTheme="minorHAnsi" w:cstheme="minorBidi"/>
          <w:szCs w:val="22"/>
          <w:lang w:eastAsia="en-US"/>
        </w:rPr>
        <w:tab/>
      </w:r>
      <w:r w:rsidR="00B93324">
        <w:rPr>
          <w:rFonts w:eastAsiaTheme="minorHAnsi" w:cstheme="minorBidi"/>
          <w:szCs w:val="22"/>
          <w:lang w:eastAsia="en-US"/>
        </w:rPr>
        <w:t>A</w:t>
      </w:r>
      <w:r w:rsidR="00FD260D">
        <w:rPr>
          <w:rFonts w:eastAsiaTheme="minorHAnsi" w:cstheme="minorBidi"/>
          <w:szCs w:val="22"/>
          <w:lang w:eastAsia="en-US"/>
        </w:rPr>
        <w:t xml:space="preserve">dvies </w:t>
      </w:r>
      <w:proofErr w:type="spellStart"/>
      <w:r w:rsidR="00B93324">
        <w:rPr>
          <w:rFonts w:eastAsiaTheme="minorHAnsi" w:cstheme="minorBidi"/>
          <w:szCs w:val="22"/>
          <w:lang w:eastAsia="en-US"/>
        </w:rPr>
        <w:t>Gasd</w:t>
      </w:r>
      <w:proofErr w:type="spellEnd"/>
      <w:r w:rsidR="00B93324">
        <w:rPr>
          <w:rFonts w:eastAsiaTheme="minorHAnsi" w:cstheme="minorBidi"/>
          <w:szCs w:val="22"/>
          <w:lang w:eastAsia="en-US"/>
        </w:rPr>
        <w:t xml:space="preserve"> </w:t>
      </w:r>
      <w:r w:rsidR="00FD260D">
        <w:rPr>
          <w:rFonts w:eastAsiaTheme="minorHAnsi" w:cstheme="minorBidi"/>
          <w:szCs w:val="22"/>
          <w:lang w:eastAsia="en-US"/>
        </w:rPr>
        <w:t>met evt.</w:t>
      </w:r>
      <w:r w:rsidR="008572BE">
        <w:rPr>
          <w:rFonts w:eastAsiaTheme="minorHAnsi" w:cstheme="minorBidi"/>
          <w:szCs w:val="22"/>
          <w:lang w:eastAsia="en-US"/>
        </w:rPr>
        <w:t xml:space="preserve"> aangepast</w:t>
      </w:r>
      <w:r w:rsidR="00FD260D">
        <w:rPr>
          <w:rFonts w:eastAsiaTheme="minorHAnsi" w:cstheme="minorBidi"/>
          <w:szCs w:val="22"/>
          <w:lang w:eastAsia="en-US"/>
        </w:rPr>
        <w:t xml:space="preserve">e </w:t>
      </w:r>
      <w:r w:rsidR="00B93324">
        <w:rPr>
          <w:rFonts w:eastAsiaTheme="minorHAnsi" w:cstheme="minorBidi"/>
          <w:szCs w:val="22"/>
          <w:lang w:eastAsia="en-US"/>
        </w:rPr>
        <w:t>Kader</w:t>
      </w:r>
      <w:r w:rsidR="00FD260D">
        <w:rPr>
          <w:rFonts w:eastAsiaTheme="minorHAnsi" w:cstheme="minorBidi"/>
          <w:szCs w:val="22"/>
          <w:lang w:eastAsia="en-US"/>
        </w:rPr>
        <w:t xml:space="preserve">nota </w:t>
      </w:r>
      <w:r w:rsidR="00B93324">
        <w:rPr>
          <w:rFonts w:eastAsiaTheme="minorHAnsi" w:cstheme="minorBidi"/>
          <w:szCs w:val="22"/>
          <w:lang w:eastAsia="en-US"/>
        </w:rPr>
        <w:t>naar college. Inclusief het IVB</w:t>
      </w:r>
      <w:r w:rsidR="008572BE">
        <w:rPr>
          <w:rFonts w:eastAsiaTheme="minorHAnsi" w:cstheme="minorBidi"/>
          <w:szCs w:val="22"/>
          <w:lang w:eastAsia="en-US"/>
        </w:rPr>
        <w:t xml:space="preserve"> Actieplan 2019</w:t>
      </w:r>
    </w:p>
    <w:p w14:paraId="089FEA50" w14:textId="60B16CA5" w:rsidR="008572BE" w:rsidRPr="00301451" w:rsidRDefault="00C86E44" w:rsidP="007653A4">
      <w:pPr>
        <w:rPr>
          <w:rFonts w:eastAsiaTheme="minorHAnsi" w:cstheme="minorBidi"/>
          <w:szCs w:val="22"/>
          <w:lang w:eastAsia="en-US"/>
        </w:rPr>
      </w:pPr>
      <w:r>
        <w:rPr>
          <w:rFonts w:eastAsiaTheme="minorHAnsi" w:cstheme="minorBidi"/>
          <w:szCs w:val="22"/>
          <w:lang w:eastAsia="en-US"/>
        </w:rPr>
        <w:t>3 april</w:t>
      </w:r>
      <w:r w:rsidR="00B93324">
        <w:rPr>
          <w:rFonts w:eastAsiaTheme="minorHAnsi" w:cstheme="minorBidi"/>
          <w:szCs w:val="22"/>
          <w:lang w:eastAsia="en-US"/>
        </w:rPr>
        <w:t xml:space="preserve"> 2019</w:t>
      </w:r>
      <w:r w:rsidR="00B93324">
        <w:rPr>
          <w:rFonts w:eastAsiaTheme="minorHAnsi" w:cstheme="minorBidi"/>
          <w:szCs w:val="22"/>
          <w:lang w:eastAsia="en-US"/>
        </w:rPr>
        <w:tab/>
      </w:r>
      <w:r w:rsidR="00B93324">
        <w:rPr>
          <w:rFonts w:eastAsiaTheme="minorHAnsi" w:cstheme="minorBidi"/>
          <w:szCs w:val="22"/>
          <w:lang w:eastAsia="en-US"/>
        </w:rPr>
        <w:tab/>
      </w:r>
      <w:r w:rsidR="008572BE" w:rsidRPr="00301451">
        <w:rPr>
          <w:rFonts w:eastAsiaTheme="minorHAnsi" w:cstheme="minorBidi"/>
          <w:szCs w:val="22"/>
          <w:lang w:eastAsia="en-US"/>
        </w:rPr>
        <w:tab/>
      </w:r>
      <w:r w:rsidR="00B93324">
        <w:rPr>
          <w:rFonts w:eastAsiaTheme="minorHAnsi" w:cstheme="minorBidi"/>
          <w:szCs w:val="22"/>
          <w:lang w:eastAsia="en-US"/>
        </w:rPr>
        <w:t>Besluitvormende</w:t>
      </w:r>
      <w:r w:rsidR="008572BE" w:rsidRPr="00301451">
        <w:rPr>
          <w:rFonts w:eastAsiaTheme="minorHAnsi" w:cstheme="minorBidi"/>
          <w:szCs w:val="22"/>
          <w:lang w:eastAsia="en-US"/>
        </w:rPr>
        <w:t xml:space="preserve"> r</w:t>
      </w:r>
      <w:r w:rsidR="00B93324">
        <w:rPr>
          <w:rFonts w:eastAsiaTheme="minorHAnsi" w:cstheme="minorBidi"/>
          <w:szCs w:val="22"/>
          <w:lang w:eastAsia="en-US"/>
        </w:rPr>
        <w:t xml:space="preserve">aad, incl. advies GASD </w:t>
      </w:r>
    </w:p>
    <w:bookmarkStart w:id="0" w:name="_Toc531857277" w:displacedByCustomXml="next"/>
    <w:bookmarkStart w:id="1" w:name="_Toc531857204" w:displacedByCustomXml="next"/>
    <w:bookmarkStart w:id="2" w:name="_Toc531853902" w:displacedByCustomXml="next"/>
    <w:bookmarkStart w:id="3" w:name="_Toc528844161" w:displacedByCustomXml="next"/>
    <w:bookmarkStart w:id="4" w:name="_Toc530751899" w:displacedByCustomXml="next"/>
    <w:bookmarkStart w:id="5" w:name="_Toc530937962" w:displacedByCustomXml="next"/>
    <w:bookmarkStart w:id="6" w:name="_Toc531619330" w:displacedByCustomXml="next"/>
    <w:sdt>
      <w:sdtPr>
        <w:rPr>
          <w:rFonts w:eastAsia="Times New Roman"/>
          <w:b w:val="0"/>
          <w:bCs w:val="0"/>
          <w:color w:val="auto"/>
          <w:sz w:val="20"/>
          <w:szCs w:val="20"/>
        </w:rPr>
        <w:id w:val="958221713"/>
        <w:docPartObj>
          <w:docPartGallery w:val="Table of Contents"/>
          <w:docPartUnique/>
        </w:docPartObj>
      </w:sdtPr>
      <w:sdtEndPr/>
      <w:sdtContent>
        <w:p w14:paraId="79ECA68C" w14:textId="77777777" w:rsidR="007970DA" w:rsidRDefault="007970DA" w:rsidP="007653A4">
          <w:pPr>
            <w:pStyle w:val="Kopvaninhoudsopgave"/>
          </w:pPr>
          <w:r>
            <w:t>Inhoud</w:t>
          </w:r>
          <w:bookmarkEnd w:id="6"/>
          <w:bookmarkEnd w:id="5"/>
          <w:bookmarkEnd w:id="4"/>
          <w:bookmarkEnd w:id="3"/>
          <w:bookmarkEnd w:id="2"/>
          <w:bookmarkEnd w:id="1"/>
          <w:bookmarkEnd w:id="0"/>
        </w:p>
        <w:p w14:paraId="153CA7E0" w14:textId="4647E400" w:rsidR="00CC373A" w:rsidRDefault="007970DA" w:rsidP="007653A4">
          <w:pPr>
            <w:pStyle w:val="Inhopg3"/>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p>
        <w:p w14:paraId="53010B20"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78" w:history="1">
            <w:r w:rsidR="00CC373A" w:rsidRPr="00027406">
              <w:rPr>
                <w:rStyle w:val="Hyperlink"/>
                <w:noProof/>
              </w:rPr>
              <w:t>1.</w:t>
            </w:r>
            <w:r w:rsidR="00CC373A">
              <w:rPr>
                <w:rFonts w:asciiTheme="minorHAnsi" w:eastAsiaTheme="minorEastAsia" w:hAnsiTheme="minorHAnsi" w:cstheme="minorBidi"/>
                <w:b w:val="0"/>
                <w:bCs w:val="0"/>
                <w:noProof/>
                <w:sz w:val="22"/>
                <w:szCs w:val="22"/>
              </w:rPr>
              <w:tab/>
            </w:r>
            <w:r w:rsidR="00CC373A" w:rsidRPr="00027406">
              <w:rPr>
                <w:rStyle w:val="Hyperlink"/>
                <w:noProof/>
              </w:rPr>
              <w:t>Inleiding</w:t>
            </w:r>
            <w:r w:rsidR="00CC373A">
              <w:rPr>
                <w:noProof/>
                <w:webHidden/>
              </w:rPr>
              <w:tab/>
            </w:r>
            <w:r w:rsidR="00CC373A">
              <w:rPr>
                <w:noProof/>
                <w:webHidden/>
              </w:rPr>
              <w:fldChar w:fldCharType="begin"/>
            </w:r>
            <w:r w:rsidR="00CC373A">
              <w:rPr>
                <w:noProof/>
                <w:webHidden/>
              </w:rPr>
              <w:instrText xml:space="preserve"> PAGEREF _Toc531857278 \h </w:instrText>
            </w:r>
            <w:r w:rsidR="00CC373A">
              <w:rPr>
                <w:noProof/>
                <w:webHidden/>
              </w:rPr>
            </w:r>
            <w:r w:rsidR="00CC373A">
              <w:rPr>
                <w:noProof/>
                <w:webHidden/>
              </w:rPr>
              <w:fldChar w:fldCharType="separate"/>
            </w:r>
            <w:r w:rsidR="008D6A63">
              <w:rPr>
                <w:noProof/>
                <w:webHidden/>
              </w:rPr>
              <w:t>2</w:t>
            </w:r>
            <w:r w:rsidR="00CC373A">
              <w:rPr>
                <w:noProof/>
                <w:webHidden/>
              </w:rPr>
              <w:fldChar w:fldCharType="end"/>
            </w:r>
          </w:hyperlink>
        </w:p>
        <w:p w14:paraId="6A14A0CA"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79" w:history="1">
            <w:r w:rsidR="00CC373A" w:rsidRPr="00027406">
              <w:rPr>
                <w:rStyle w:val="Hyperlink"/>
                <w:noProof/>
              </w:rPr>
              <w:t>2.</w:t>
            </w:r>
            <w:r w:rsidR="00CC373A">
              <w:rPr>
                <w:rFonts w:asciiTheme="minorHAnsi" w:eastAsiaTheme="minorEastAsia" w:hAnsiTheme="minorHAnsi" w:cstheme="minorBidi"/>
                <w:b w:val="0"/>
                <w:bCs w:val="0"/>
                <w:noProof/>
                <w:sz w:val="22"/>
                <w:szCs w:val="22"/>
              </w:rPr>
              <w:tab/>
            </w:r>
            <w:r w:rsidR="00CC373A" w:rsidRPr="00027406">
              <w:rPr>
                <w:rStyle w:val="Hyperlink"/>
                <w:noProof/>
              </w:rPr>
              <w:t>Coalitieakkoord en uitgangspunten</w:t>
            </w:r>
            <w:r w:rsidR="00CC373A">
              <w:rPr>
                <w:noProof/>
                <w:webHidden/>
              </w:rPr>
              <w:tab/>
            </w:r>
            <w:r w:rsidR="00CC373A">
              <w:rPr>
                <w:noProof/>
                <w:webHidden/>
              </w:rPr>
              <w:fldChar w:fldCharType="begin"/>
            </w:r>
            <w:r w:rsidR="00CC373A">
              <w:rPr>
                <w:noProof/>
                <w:webHidden/>
              </w:rPr>
              <w:instrText xml:space="preserve"> PAGEREF _Toc531857279 \h </w:instrText>
            </w:r>
            <w:r w:rsidR="00CC373A">
              <w:rPr>
                <w:noProof/>
                <w:webHidden/>
              </w:rPr>
            </w:r>
            <w:r w:rsidR="00CC373A">
              <w:rPr>
                <w:noProof/>
                <w:webHidden/>
              </w:rPr>
              <w:fldChar w:fldCharType="separate"/>
            </w:r>
            <w:r w:rsidR="008D6A63">
              <w:rPr>
                <w:noProof/>
                <w:webHidden/>
              </w:rPr>
              <w:t>3</w:t>
            </w:r>
            <w:r w:rsidR="00CC373A">
              <w:rPr>
                <w:noProof/>
                <w:webHidden/>
              </w:rPr>
              <w:fldChar w:fldCharType="end"/>
            </w:r>
          </w:hyperlink>
        </w:p>
        <w:p w14:paraId="3469613E"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0" w:history="1">
            <w:r w:rsidR="00CC373A" w:rsidRPr="00027406">
              <w:rPr>
                <w:rStyle w:val="Hyperlink"/>
                <w:noProof/>
              </w:rPr>
              <w:t>3.</w:t>
            </w:r>
            <w:r w:rsidR="00CC373A">
              <w:rPr>
                <w:rFonts w:asciiTheme="minorHAnsi" w:eastAsiaTheme="minorEastAsia" w:hAnsiTheme="minorHAnsi" w:cstheme="minorBidi"/>
                <w:b w:val="0"/>
                <w:bCs w:val="0"/>
                <w:noProof/>
                <w:sz w:val="22"/>
                <w:szCs w:val="22"/>
              </w:rPr>
              <w:tab/>
            </w:r>
            <w:r w:rsidR="00CC373A" w:rsidRPr="00027406">
              <w:rPr>
                <w:rStyle w:val="Hyperlink"/>
                <w:noProof/>
              </w:rPr>
              <w:t>Uitkomst evaluatie</w:t>
            </w:r>
            <w:r w:rsidR="00CC373A">
              <w:rPr>
                <w:noProof/>
                <w:webHidden/>
              </w:rPr>
              <w:tab/>
            </w:r>
            <w:r w:rsidR="00CC373A">
              <w:rPr>
                <w:noProof/>
                <w:webHidden/>
              </w:rPr>
              <w:fldChar w:fldCharType="begin"/>
            </w:r>
            <w:r w:rsidR="00CC373A">
              <w:rPr>
                <w:noProof/>
                <w:webHidden/>
              </w:rPr>
              <w:instrText xml:space="preserve"> PAGEREF _Toc531857280 \h </w:instrText>
            </w:r>
            <w:r w:rsidR="00CC373A">
              <w:rPr>
                <w:noProof/>
                <w:webHidden/>
              </w:rPr>
            </w:r>
            <w:r w:rsidR="00CC373A">
              <w:rPr>
                <w:noProof/>
                <w:webHidden/>
              </w:rPr>
              <w:fldChar w:fldCharType="separate"/>
            </w:r>
            <w:r w:rsidR="008D6A63">
              <w:rPr>
                <w:noProof/>
                <w:webHidden/>
              </w:rPr>
              <w:t>5</w:t>
            </w:r>
            <w:r w:rsidR="00CC373A">
              <w:rPr>
                <w:noProof/>
                <w:webHidden/>
              </w:rPr>
              <w:fldChar w:fldCharType="end"/>
            </w:r>
          </w:hyperlink>
        </w:p>
        <w:p w14:paraId="49C444AA"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1" w:history="1">
            <w:r w:rsidR="00CC373A" w:rsidRPr="00027406">
              <w:rPr>
                <w:rStyle w:val="Hyperlink"/>
                <w:noProof/>
              </w:rPr>
              <w:t>4.</w:t>
            </w:r>
            <w:r w:rsidR="00CC373A">
              <w:rPr>
                <w:rFonts w:asciiTheme="minorHAnsi" w:eastAsiaTheme="minorEastAsia" w:hAnsiTheme="minorHAnsi" w:cstheme="minorBidi"/>
                <w:b w:val="0"/>
                <w:bCs w:val="0"/>
                <w:noProof/>
                <w:sz w:val="22"/>
                <w:szCs w:val="22"/>
              </w:rPr>
              <w:tab/>
            </w:r>
            <w:r w:rsidR="00CC373A" w:rsidRPr="00027406">
              <w:rPr>
                <w:rStyle w:val="Hyperlink"/>
                <w:noProof/>
              </w:rPr>
              <w:t>Prioriteiten Gouda 2019-2022</w:t>
            </w:r>
            <w:r w:rsidR="00CC373A">
              <w:rPr>
                <w:noProof/>
                <w:webHidden/>
              </w:rPr>
              <w:tab/>
            </w:r>
            <w:r w:rsidR="00CC373A">
              <w:rPr>
                <w:noProof/>
                <w:webHidden/>
              </w:rPr>
              <w:fldChar w:fldCharType="begin"/>
            </w:r>
            <w:r w:rsidR="00CC373A">
              <w:rPr>
                <w:noProof/>
                <w:webHidden/>
              </w:rPr>
              <w:instrText xml:space="preserve"> PAGEREF _Toc531857281 \h </w:instrText>
            </w:r>
            <w:r w:rsidR="00CC373A">
              <w:rPr>
                <w:noProof/>
                <w:webHidden/>
              </w:rPr>
            </w:r>
            <w:r w:rsidR="00CC373A">
              <w:rPr>
                <w:noProof/>
                <w:webHidden/>
              </w:rPr>
              <w:fldChar w:fldCharType="separate"/>
            </w:r>
            <w:r w:rsidR="008D6A63">
              <w:rPr>
                <w:noProof/>
                <w:webHidden/>
              </w:rPr>
              <w:t>7</w:t>
            </w:r>
            <w:r w:rsidR="00CC373A">
              <w:rPr>
                <w:noProof/>
                <w:webHidden/>
              </w:rPr>
              <w:fldChar w:fldCharType="end"/>
            </w:r>
          </w:hyperlink>
        </w:p>
        <w:p w14:paraId="098B0FFE"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2" w:history="1">
            <w:r w:rsidR="00CC373A" w:rsidRPr="00027406">
              <w:rPr>
                <w:rStyle w:val="Hyperlink"/>
                <w:noProof/>
              </w:rPr>
              <w:t>5.</w:t>
            </w:r>
            <w:r w:rsidR="00CC373A">
              <w:rPr>
                <w:rFonts w:asciiTheme="minorHAnsi" w:eastAsiaTheme="minorEastAsia" w:hAnsiTheme="minorHAnsi" w:cstheme="minorBidi"/>
                <w:b w:val="0"/>
                <w:bCs w:val="0"/>
                <w:noProof/>
                <w:sz w:val="22"/>
                <w:szCs w:val="22"/>
              </w:rPr>
              <w:tab/>
            </w:r>
            <w:r w:rsidR="00CC373A" w:rsidRPr="00027406">
              <w:rPr>
                <w:rStyle w:val="Hyperlink"/>
                <w:noProof/>
              </w:rPr>
              <w:t>Toezicht en handhaving</w:t>
            </w:r>
            <w:r w:rsidR="00CC373A">
              <w:rPr>
                <w:noProof/>
                <w:webHidden/>
              </w:rPr>
              <w:tab/>
            </w:r>
            <w:r w:rsidR="00CC373A">
              <w:rPr>
                <w:noProof/>
                <w:webHidden/>
              </w:rPr>
              <w:fldChar w:fldCharType="begin"/>
            </w:r>
            <w:r w:rsidR="00CC373A">
              <w:rPr>
                <w:noProof/>
                <w:webHidden/>
              </w:rPr>
              <w:instrText xml:space="preserve"> PAGEREF _Toc531857282 \h </w:instrText>
            </w:r>
            <w:r w:rsidR="00CC373A">
              <w:rPr>
                <w:noProof/>
                <w:webHidden/>
              </w:rPr>
            </w:r>
            <w:r w:rsidR="00CC373A">
              <w:rPr>
                <w:noProof/>
                <w:webHidden/>
              </w:rPr>
              <w:fldChar w:fldCharType="separate"/>
            </w:r>
            <w:r w:rsidR="008D6A63">
              <w:rPr>
                <w:noProof/>
                <w:webHidden/>
              </w:rPr>
              <w:t>11</w:t>
            </w:r>
            <w:r w:rsidR="00CC373A">
              <w:rPr>
                <w:noProof/>
                <w:webHidden/>
              </w:rPr>
              <w:fldChar w:fldCharType="end"/>
            </w:r>
          </w:hyperlink>
        </w:p>
        <w:p w14:paraId="36F13BC5"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3" w:history="1">
            <w:r w:rsidR="00CC373A" w:rsidRPr="00027406">
              <w:rPr>
                <w:rStyle w:val="Hyperlink"/>
                <w:noProof/>
              </w:rPr>
              <w:t>6.</w:t>
            </w:r>
            <w:r w:rsidR="00CC373A">
              <w:rPr>
                <w:rFonts w:asciiTheme="minorHAnsi" w:eastAsiaTheme="minorEastAsia" w:hAnsiTheme="minorHAnsi" w:cstheme="minorBidi"/>
                <w:b w:val="0"/>
                <w:bCs w:val="0"/>
                <w:noProof/>
                <w:sz w:val="22"/>
                <w:szCs w:val="22"/>
              </w:rPr>
              <w:tab/>
            </w:r>
            <w:r w:rsidR="00CC373A" w:rsidRPr="00027406">
              <w:rPr>
                <w:rStyle w:val="Hyperlink"/>
                <w:noProof/>
              </w:rPr>
              <w:t>Basisaanpak</w:t>
            </w:r>
            <w:r w:rsidR="00CC373A">
              <w:rPr>
                <w:noProof/>
                <w:webHidden/>
              </w:rPr>
              <w:tab/>
            </w:r>
            <w:r w:rsidR="00CC373A">
              <w:rPr>
                <w:noProof/>
                <w:webHidden/>
              </w:rPr>
              <w:fldChar w:fldCharType="begin"/>
            </w:r>
            <w:r w:rsidR="00CC373A">
              <w:rPr>
                <w:noProof/>
                <w:webHidden/>
              </w:rPr>
              <w:instrText xml:space="preserve"> PAGEREF _Toc531857283 \h </w:instrText>
            </w:r>
            <w:r w:rsidR="00CC373A">
              <w:rPr>
                <w:noProof/>
                <w:webHidden/>
              </w:rPr>
            </w:r>
            <w:r w:rsidR="00CC373A">
              <w:rPr>
                <w:noProof/>
                <w:webHidden/>
              </w:rPr>
              <w:fldChar w:fldCharType="separate"/>
            </w:r>
            <w:r w:rsidR="008D6A63">
              <w:rPr>
                <w:noProof/>
                <w:webHidden/>
              </w:rPr>
              <w:t>13</w:t>
            </w:r>
            <w:r w:rsidR="00CC373A">
              <w:rPr>
                <w:noProof/>
                <w:webHidden/>
              </w:rPr>
              <w:fldChar w:fldCharType="end"/>
            </w:r>
          </w:hyperlink>
        </w:p>
        <w:p w14:paraId="5F8ECCC1"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4" w:history="1">
            <w:r w:rsidR="00CC373A" w:rsidRPr="00027406">
              <w:rPr>
                <w:rStyle w:val="Hyperlink"/>
                <w:noProof/>
              </w:rPr>
              <w:t>7.</w:t>
            </w:r>
            <w:r w:rsidR="00CC373A">
              <w:rPr>
                <w:rFonts w:asciiTheme="minorHAnsi" w:eastAsiaTheme="minorEastAsia" w:hAnsiTheme="minorHAnsi" w:cstheme="minorBidi"/>
                <w:b w:val="0"/>
                <w:bCs w:val="0"/>
                <w:noProof/>
                <w:sz w:val="22"/>
                <w:szCs w:val="22"/>
              </w:rPr>
              <w:tab/>
            </w:r>
            <w:r w:rsidR="00CC373A" w:rsidRPr="00027406">
              <w:rPr>
                <w:rStyle w:val="Hyperlink"/>
                <w:noProof/>
              </w:rPr>
              <w:t>Ambities op een rij</w:t>
            </w:r>
            <w:r w:rsidR="00CC373A">
              <w:rPr>
                <w:noProof/>
                <w:webHidden/>
              </w:rPr>
              <w:tab/>
            </w:r>
            <w:r w:rsidR="00CC373A">
              <w:rPr>
                <w:noProof/>
                <w:webHidden/>
              </w:rPr>
              <w:fldChar w:fldCharType="begin"/>
            </w:r>
            <w:r w:rsidR="00CC373A">
              <w:rPr>
                <w:noProof/>
                <w:webHidden/>
              </w:rPr>
              <w:instrText xml:space="preserve"> PAGEREF _Toc531857284 \h </w:instrText>
            </w:r>
            <w:r w:rsidR="00CC373A">
              <w:rPr>
                <w:noProof/>
                <w:webHidden/>
              </w:rPr>
            </w:r>
            <w:r w:rsidR="00CC373A">
              <w:rPr>
                <w:noProof/>
                <w:webHidden/>
              </w:rPr>
              <w:fldChar w:fldCharType="separate"/>
            </w:r>
            <w:r w:rsidR="008D6A63">
              <w:rPr>
                <w:noProof/>
                <w:webHidden/>
              </w:rPr>
              <w:t>14</w:t>
            </w:r>
            <w:r w:rsidR="00CC373A">
              <w:rPr>
                <w:noProof/>
                <w:webHidden/>
              </w:rPr>
              <w:fldChar w:fldCharType="end"/>
            </w:r>
          </w:hyperlink>
        </w:p>
        <w:p w14:paraId="0452004D" w14:textId="77777777" w:rsidR="00CC373A" w:rsidRDefault="00002C53" w:rsidP="007653A4">
          <w:pPr>
            <w:pStyle w:val="Inhopg1"/>
            <w:rPr>
              <w:rFonts w:asciiTheme="minorHAnsi" w:eastAsiaTheme="minorEastAsia" w:hAnsiTheme="minorHAnsi" w:cstheme="minorBidi"/>
              <w:b w:val="0"/>
              <w:bCs w:val="0"/>
              <w:noProof/>
              <w:sz w:val="22"/>
              <w:szCs w:val="22"/>
            </w:rPr>
          </w:pPr>
          <w:hyperlink w:anchor="_Toc531857285" w:history="1">
            <w:r w:rsidR="00CC373A" w:rsidRPr="00027406">
              <w:rPr>
                <w:rStyle w:val="Hyperlink"/>
                <w:noProof/>
              </w:rPr>
              <w:t>8.</w:t>
            </w:r>
            <w:r w:rsidR="00CC373A">
              <w:rPr>
                <w:rFonts w:asciiTheme="minorHAnsi" w:eastAsiaTheme="minorEastAsia" w:hAnsiTheme="minorHAnsi" w:cstheme="minorBidi"/>
                <w:b w:val="0"/>
                <w:bCs w:val="0"/>
                <w:noProof/>
                <w:sz w:val="22"/>
                <w:szCs w:val="22"/>
              </w:rPr>
              <w:tab/>
            </w:r>
            <w:r w:rsidR="00CC373A" w:rsidRPr="00027406">
              <w:rPr>
                <w:rStyle w:val="Hyperlink"/>
                <w:noProof/>
              </w:rPr>
              <w:t>Financiële paragraaf</w:t>
            </w:r>
            <w:r w:rsidR="00CC373A">
              <w:rPr>
                <w:noProof/>
                <w:webHidden/>
              </w:rPr>
              <w:tab/>
            </w:r>
            <w:r w:rsidR="00CC373A">
              <w:rPr>
                <w:noProof/>
                <w:webHidden/>
              </w:rPr>
              <w:fldChar w:fldCharType="begin"/>
            </w:r>
            <w:r w:rsidR="00CC373A">
              <w:rPr>
                <w:noProof/>
                <w:webHidden/>
              </w:rPr>
              <w:instrText xml:space="preserve"> PAGEREF _Toc531857285 \h </w:instrText>
            </w:r>
            <w:r w:rsidR="00CC373A">
              <w:rPr>
                <w:noProof/>
                <w:webHidden/>
              </w:rPr>
            </w:r>
            <w:r w:rsidR="00CC373A">
              <w:rPr>
                <w:noProof/>
                <w:webHidden/>
              </w:rPr>
              <w:fldChar w:fldCharType="separate"/>
            </w:r>
            <w:r w:rsidR="008D6A63">
              <w:rPr>
                <w:noProof/>
                <w:webHidden/>
              </w:rPr>
              <w:t>14</w:t>
            </w:r>
            <w:r w:rsidR="00CC373A">
              <w:rPr>
                <w:noProof/>
                <w:webHidden/>
              </w:rPr>
              <w:fldChar w:fldCharType="end"/>
            </w:r>
          </w:hyperlink>
        </w:p>
        <w:p w14:paraId="58E24AEF" w14:textId="2E0BAB6C" w:rsidR="00CC373A" w:rsidRDefault="00002C53" w:rsidP="007653A4">
          <w:pPr>
            <w:pStyle w:val="Inhopg1"/>
            <w:rPr>
              <w:rFonts w:asciiTheme="minorHAnsi" w:eastAsiaTheme="minorEastAsia" w:hAnsiTheme="minorHAnsi" w:cstheme="minorBidi"/>
              <w:b w:val="0"/>
              <w:bCs w:val="0"/>
              <w:noProof/>
              <w:sz w:val="22"/>
              <w:szCs w:val="22"/>
            </w:rPr>
          </w:pPr>
          <w:hyperlink w:anchor="_Toc531857286" w:history="1">
            <w:r w:rsidR="00CC373A" w:rsidRPr="00027406">
              <w:rPr>
                <w:rStyle w:val="Hyperlink"/>
                <w:noProof/>
              </w:rPr>
              <w:t>Bijlage A</w:t>
            </w:r>
            <w:r w:rsidR="00CC373A">
              <w:rPr>
                <w:noProof/>
                <w:webHidden/>
              </w:rPr>
              <w:tab/>
            </w:r>
            <w:r w:rsidR="00CC373A">
              <w:rPr>
                <w:noProof/>
                <w:webHidden/>
              </w:rPr>
              <w:tab/>
            </w:r>
            <w:r w:rsidR="00CC373A">
              <w:rPr>
                <w:noProof/>
                <w:webHidden/>
              </w:rPr>
              <w:fldChar w:fldCharType="begin"/>
            </w:r>
            <w:r w:rsidR="00CC373A">
              <w:rPr>
                <w:noProof/>
                <w:webHidden/>
              </w:rPr>
              <w:instrText xml:space="preserve"> PAGEREF _Toc531857286 \h </w:instrText>
            </w:r>
            <w:r w:rsidR="00CC373A">
              <w:rPr>
                <w:noProof/>
                <w:webHidden/>
              </w:rPr>
            </w:r>
            <w:r w:rsidR="00CC373A">
              <w:rPr>
                <w:noProof/>
                <w:webHidden/>
              </w:rPr>
              <w:fldChar w:fldCharType="separate"/>
            </w:r>
            <w:r w:rsidR="008D6A63">
              <w:rPr>
                <w:noProof/>
                <w:webHidden/>
              </w:rPr>
              <w:t>16</w:t>
            </w:r>
            <w:r w:rsidR="00CC373A">
              <w:rPr>
                <w:noProof/>
                <w:webHidden/>
              </w:rPr>
              <w:fldChar w:fldCharType="end"/>
            </w:r>
          </w:hyperlink>
        </w:p>
        <w:p w14:paraId="3AE0FFEA" w14:textId="77777777" w:rsidR="007970DA" w:rsidRDefault="007970DA" w:rsidP="007653A4">
          <w:r>
            <w:rPr>
              <w:b/>
              <w:bCs/>
            </w:rPr>
            <w:fldChar w:fldCharType="end"/>
          </w:r>
        </w:p>
      </w:sdtContent>
    </w:sdt>
    <w:p w14:paraId="64C68DEB" w14:textId="77777777" w:rsidR="00076D4F" w:rsidRDefault="00076D4F" w:rsidP="007653A4">
      <w:pPr>
        <w:pStyle w:val="Lijstnummering"/>
        <w:numPr>
          <w:ilvl w:val="0"/>
          <w:numId w:val="0"/>
        </w:numPr>
        <w:ind w:left="360"/>
      </w:pPr>
    </w:p>
    <w:p w14:paraId="303F6F60" w14:textId="77777777" w:rsidR="00D93231" w:rsidRDefault="00D93231" w:rsidP="007653A4">
      <w:pPr>
        <w:pStyle w:val="Lijstnummering"/>
        <w:numPr>
          <w:ilvl w:val="0"/>
          <w:numId w:val="0"/>
        </w:numPr>
        <w:ind w:left="360"/>
      </w:pPr>
    </w:p>
    <w:p w14:paraId="0CA08B26" w14:textId="77777777" w:rsidR="00D93231" w:rsidRDefault="00D93231" w:rsidP="007653A4">
      <w:pPr>
        <w:pStyle w:val="Lijstnummering"/>
        <w:numPr>
          <w:ilvl w:val="0"/>
          <w:numId w:val="0"/>
        </w:numPr>
        <w:ind w:left="360"/>
      </w:pPr>
    </w:p>
    <w:p w14:paraId="0606D90C" w14:textId="77777777" w:rsidR="00301451" w:rsidRDefault="00301451" w:rsidP="007653A4">
      <w:pPr>
        <w:pStyle w:val="Lijstnummering"/>
        <w:numPr>
          <w:ilvl w:val="0"/>
          <w:numId w:val="0"/>
        </w:numPr>
        <w:ind w:left="360"/>
      </w:pPr>
    </w:p>
    <w:p w14:paraId="4FC1433A" w14:textId="77777777" w:rsidR="00301451" w:rsidRDefault="00301451" w:rsidP="007653A4">
      <w:pPr>
        <w:pStyle w:val="Lijstnummering"/>
        <w:numPr>
          <w:ilvl w:val="0"/>
          <w:numId w:val="0"/>
        </w:numPr>
        <w:ind w:left="360"/>
      </w:pPr>
    </w:p>
    <w:p w14:paraId="443CE5CE" w14:textId="77777777" w:rsidR="00301451" w:rsidRDefault="00301451" w:rsidP="007653A4">
      <w:pPr>
        <w:pStyle w:val="Lijstnummering"/>
        <w:numPr>
          <w:ilvl w:val="0"/>
          <w:numId w:val="0"/>
        </w:numPr>
        <w:ind w:left="360"/>
      </w:pPr>
    </w:p>
    <w:p w14:paraId="6F48F297" w14:textId="77777777" w:rsidR="00301451" w:rsidRDefault="00301451" w:rsidP="007653A4">
      <w:pPr>
        <w:pStyle w:val="Lijstnummering"/>
        <w:numPr>
          <w:ilvl w:val="0"/>
          <w:numId w:val="0"/>
        </w:numPr>
        <w:ind w:left="360"/>
      </w:pPr>
    </w:p>
    <w:p w14:paraId="5C8F7421" w14:textId="77777777" w:rsidR="00301451" w:rsidRDefault="00301451" w:rsidP="007653A4">
      <w:pPr>
        <w:pStyle w:val="Lijstnummering"/>
        <w:numPr>
          <w:ilvl w:val="0"/>
          <w:numId w:val="0"/>
        </w:numPr>
        <w:ind w:left="360"/>
      </w:pPr>
    </w:p>
    <w:p w14:paraId="0666F7C6" w14:textId="77777777" w:rsidR="00B6370E" w:rsidRDefault="00B6370E" w:rsidP="007653A4">
      <w:pPr>
        <w:pStyle w:val="Lijstnummering"/>
        <w:numPr>
          <w:ilvl w:val="0"/>
          <w:numId w:val="0"/>
        </w:numPr>
        <w:ind w:left="360"/>
      </w:pPr>
    </w:p>
    <w:p w14:paraId="373C1BFB" w14:textId="77777777" w:rsidR="00B6370E" w:rsidRDefault="00B6370E" w:rsidP="007653A4">
      <w:pPr>
        <w:pStyle w:val="Lijstnummering"/>
        <w:numPr>
          <w:ilvl w:val="0"/>
          <w:numId w:val="0"/>
        </w:numPr>
        <w:ind w:left="360"/>
      </w:pPr>
    </w:p>
    <w:p w14:paraId="180A36BD" w14:textId="77777777" w:rsidR="00301451" w:rsidRDefault="00301451" w:rsidP="007653A4">
      <w:pPr>
        <w:pStyle w:val="Lijstnummering"/>
        <w:numPr>
          <w:ilvl w:val="0"/>
          <w:numId w:val="0"/>
        </w:numPr>
        <w:ind w:left="360"/>
      </w:pPr>
    </w:p>
    <w:p w14:paraId="5AE2C03C" w14:textId="77777777" w:rsidR="00301451" w:rsidRDefault="00301451" w:rsidP="007653A4">
      <w:pPr>
        <w:pStyle w:val="Lijstnummering"/>
        <w:numPr>
          <w:ilvl w:val="0"/>
          <w:numId w:val="0"/>
        </w:numPr>
        <w:ind w:left="360"/>
      </w:pPr>
    </w:p>
    <w:p w14:paraId="47F593E4" w14:textId="77777777" w:rsidR="00301451" w:rsidRDefault="00301451" w:rsidP="007653A4">
      <w:pPr>
        <w:pStyle w:val="Lijstnummering"/>
        <w:numPr>
          <w:ilvl w:val="0"/>
          <w:numId w:val="0"/>
        </w:numPr>
        <w:ind w:left="360"/>
      </w:pPr>
    </w:p>
    <w:p w14:paraId="3337605B" w14:textId="77777777" w:rsidR="00301451" w:rsidRDefault="00301451" w:rsidP="007653A4">
      <w:pPr>
        <w:pStyle w:val="Lijstnummering"/>
        <w:numPr>
          <w:ilvl w:val="0"/>
          <w:numId w:val="0"/>
        </w:numPr>
        <w:ind w:left="360"/>
      </w:pPr>
    </w:p>
    <w:p w14:paraId="6E784452" w14:textId="77777777" w:rsidR="00301451" w:rsidRDefault="00301451" w:rsidP="007653A4">
      <w:pPr>
        <w:pStyle w:val="Lijstnummering"/>
        <w:numPr>
          <w:ilvl w:val="0"/>
          <w:numId w:val="0"/>
        </w:numPr>
        <w:ind w:left="360"/>
      </w:pPr>
    </w:p>
    <w:p w14:paraId="16E1DFA6" w14:textId="77777777" w:rsidR="00301451" w:rsidRDefault="00301451" w:rsidP="007653A4">
      <w:pPr>
        <w:pStyle w:val="Lijstnummering"/>
        <w:numPr>
          <w:ilvl w:val="0"/>
          <w:numId w:val="0"/>
        </w:numPr>
        <w:ind w:left="360"/>
      </w:pPr>
    </w:p>
    <w:p w14:paraId="724D9F78" w14:textId="77777777" w:rsidR="00301451" w:rsidRPr="00D27CD1" w:rsidRDefault="00D27CD1" w:rsidP="007653A4">
      <w:pPr>
        <w:pStyle w:val="Lijstnummering"/>
        <w:numPr>
          <w:ilvl w:val="0"/>
          <w:numId w:val="0"/>
        </w:numPr>
        <w:ind w:left="360" w:hanging="360"/>
        <w:rPr>
          <w:sz w:val="24"/>
          <w:szCs w:val="24"/>
        </w:rPr>
      </w:pPr>
      <w:r w:rsidRPr="00275818">
        <w:rPr>
          <w:sz w:val="24"/>
          <w:szCs w:val="24"/>
        </w:rPr>
        <w:t>NB Professionele vormgeving van de Kadernota volgt bij publicatie van de definitieve versie.</w:t>
      </w:r>
      <w:r w:rsidRPr="00D27CD1">
        <w:rPr>
          <w:sz w:val="24"/>
          <w:szCs w:val="24"/>
        </w:rPr>
        <w:t xml:space="preserve"> </w:t>
      </w:r>
    </w:p>
    <w:p w14:paraId="26EBB954" w14:textId="77777777" w:rsidR="00D93231" w:rsidRDefault="00D93231" w:rsidP="007653A4">
      <w:pPr>
        <w:pStyle w:val="Lijstnummering"/>
        <w:numPr>
          <w:ilvl w:val="0"/>
          <w:numId w:val="0"/>
        </w:numPr>
        <w:ind w:left="360"/>
      </w:pPr>
    </w:p>
    <w:p w14:paraId="3C31935F" w14:textId="779E26C2" w:rsidR="00D93231" w:rsidRDefault="00B632FC" w:rsidP="007653A4">
      <w:pPr>
        <w:pStyle w:val="Itemsnrsniveau1"/>
        <w:ind w:firstLine="0"/>
      </w:pPr>
      <w:bookmarkStart w:id="7" w:name="_Toc531857278"/>
      <w:r>
        <w:rPr>
          <w:noProof/>
          <w:lang w:eastAsia="nl-NL"/>
        </w:rPr>
        <mc:AlternateContent>
          <mc:Choice Requires="wps">
            <w:drawing>
              <wp:anchor distT="91440" distB="91440" distL="114300" distR="114300" simplePos="0" relativeHeight="251686912" behindDoc="0" locked="0" layoutInCell="1" allowOverlap="1" wp14:anchorId="078C068B" wp14:editId="287EEDA7">
                <wp:simplePos x="0" y="0"/>
                <wp:positionH relativeFrom="margin">
                  <wp:posOffset>3738245</wp:posOffset>
                </wp:positionH>
                <wp:positionV relativeFrom="paragraph">
                  <wp:posOffset>13335</wp:posOffset>
                </wp:positionV>
                <wp:extent cx="5201920" cy="90551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905510"/>
                        </a:xfrm>
                        <a:prstGeom prst="rect">
                          <a:avLst/>
                        </a:prstGeom>
                        <a:noFill/>
                        <a:ln w="9525">
                          <a:noFill/>
                          <a:miter lim="800000"/>
                          <a:headEnd/>
                          <a:tailEnd/>
                        </a:ln>
                      </wps:spPr>
                      <wps:txbx>
                        <w:txbxContent>
                          <w:p w14:paraId="4A276BBC" w14:textId="3AD891B6" w:rsidR="002036F8" w:rsidRDefault="002036F8" w:rsidP="00B632F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‘’Een integrale veiligheidsaanpak, met zowel aandacht voor preventie als repressie is van belang voor inwoners en bezoekers’’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94.35pt;margin-top:1.05pt;width:409.6pt;height:71.3pt;z-index:251686912;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" filled="f" stroked="f">
                <v:textbox style="mso-fit-shape-to-text:t">
                  <w:txbxContent>
                    <w:p w14:paraId="4A276BBC" w14:textId="3AD891B6" w:rsidR="002036F8" w:rsidRDefault="002036F8" w:rsidP="00B632F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‘’Een integrale veiligheidsaanpak, met zowel aandacht voor preventie als repressie is van belang voor inwoners en bezoekers’’</w:t>
                      </w:r>
                    </w:p>
                  </w:txbxContent>
                </v:textbox>
                <w10:wrap type="square" anchorx="margin"/>
              </v:shape>
            </w:pict>
          </mc:Fallback>
        </mc:AlternateContent>
      </w:r>
      <w:r w:rsidR="00A8644C">
        <w:t>Inleiding</w:t>
      </w:r>
      <w:bookmarkEnd w:id="7"/>
    </w:p>
    <w:p w14:paraId="54EF84C5" w14:textId="09A7EF0A" w:rsidR="005234FD" w:rsidRDefault="005234FD" w:rsidP="007653A4">
      <w:pPr>
        <w:pStyle w:val="Lijstnummering"/>
        <w:numPr>
          <w:ilvl w:val="0"/>
          <w:numId w:val="0"/>
        </w:numPr>
        <w:ind w:left="360"/>
      </w:pPr>
    </w:p>
    <w:p w14:paraId="70E6325F" w14:textId="1BB28F9B" w:rsidR="00B632FC" w:rsidRDefault="00B632FC" w:rsidP="007653A4">
      <w:pPr>
        <w:pStyle w:val="Lijstnummering"/>
        <w:numPr>
          <w:ilvl w:val="0"/>
          <w:numId w:val="0"/>
        </w:numPr>
        <w:ind w:left="360"/>
      </w:pPr>
    </w:p>
    <w:p w14:paraId="03C54A91" w14:textId="77777777" w:rsidR="005234FD" w:rsidRDefault="005234FD" w:rsidP="007653A4">
      <w:pPr>
        <w:pStyle w:val="Lijstnummering"/>
        <w:numPr>
          <w:ilvl w:val="0"/>
          <w:numId w:val="0"/>
        </w:numPr>
        <w:ind w:left="360"/>
      </w:pPr>
    </w:p>
    <w:p w14:paraId="286FED72" w14:textId="77777777" w:rsidR="00B632FC" w:rsidRDefault="00B632FC" w:rsidP="007653A4">
      <w:pPr>
        <w:pStyle w:val="Lijstnummering"/>
        <w:numPr>
          <w:ilvl w:val="0"/>
          <w:numId w:val="0"/>
        </w:numPr>
        <w:ind w:left="360"/>
      </w:pPr>
    </w:p>
    <w:p w14:paraId="69F92D12" w14:textId="77777777" w:rsidR="00B632FC" w:rsidRDefault="00B632FC" w:rsidP="007653A4">
      <w:pPr>
        <w:pStyle w:val="Lijstnummering"/>
        <w:numPr>
          <w:ilvl w:val="0"/>
          <w:numId w:val="0"/>
        </w:numPr>
      </w:pPr>
    </w:p>
    <w:p w14:paraId="23C4DE79" w14:textId="5F00A8C3" w:rsidR="008861C9" w:rsidRPr="00693084" w:rsidRDefault="00D93231" w:rsidP="007653A4">
      <w:pPr>
        <w:pStyle w:val="Lijstnummering"/>
        <w:numPr>
          <w:ilvl w:val="0"/>
          <w:numId w:val="0"/>
        </w:numPr>
      </w:pPr>
      <w:r w:rsidRPr="00693084">
        <w:t xml:space="preserve">Het gaat goed met </w:t>
      </w:r>
      <w:r w:rsidR="00ED534F" w:rsidRPr="00693084">
        <w:t xml:space="preserve">de veiligheid in </w:t>
      </w:r>
      <w:r w:rsidRPr="00693084">
        <w:t>Gouda</w:t>
      </w:r>
      <w:r w:rsidR="00B632FC" w:rsidRPr="00693084">
        <w:t>, maar er is ook in de k</w:t>
      </w:r>
      <w:r w:rsidR="00ED534F" w:rsidRPr="00693084">
        <w:t>omende tijd nog genoeg te doen</w:t>
      </w:r>
      <w:r w:rsidRPr="00693084">
        <w:t xml:space="preserve">. </w:t>
      </w:r>
      <w:r w:rsidR="00301451" w:rsidRPr="00693084">
        <w:t xml:space="preserve">In de </w:t>
      </w:r>
      <w:r w:rsidRPr="00693084">
        <w:t>periode</w:t>
      </w:r>
      <w:r w:rsidR="00301451" w:rsidRPr="00693084">
        <w:t xml:space="preserve"> 2015-2018</w:t>
      </w:r>
      <w:r w:rsidR="00237377" w:rsidRPr="00693084">
        <w:rPr>
          <w:rStyle w:val="Voetnootmarkering"/>
        </w:rPr>
        <w:footnoteReference w:id="1"/>
      </w:r>
      <w:r w:rsidR="00301451" w:rsidRPr="00693084">
        <w:t xml:space="preserve"> </w:t>
      </w:r>
      <w:r w:rsidRPr="00693084">
        <w:t>is de veiligheidssituatie verbeterd.</w:t>
      </w:r>
      <w:r w:rsidR="00C10F3B" w:rsidRPr="00693084">
        <w:t xml:space="preserve"> </w:t>
      </w:r>
    </w:p>
    <w:p w14:paraId="441AE88E" w14:textId="77777777" w:rsidR="00290B4A" w:rsidRPr="00693084" w:rsidRDefault="00C10F3B" w:rsidP="007653A4">
      <w:pPr>
        <w:pStyle w:val="Lijstnummering"/>
        <w:numPr>
          <w:ilvl w:val="0"/>
          <w:numId w:val="0"/>
        </w:numPr>
      </w:pPr>
      <w:r w:rsidRPr="00693084">
        <w:t>Het aantal woninginbraken daalde f</w:t>
      </w:r>
      <w:r w:rsidR="00237377" w:rsidRPr="00693084">
        <w:t>link</w:t>
      </w:r>
      <w:r w:rsidR="007A1D16" w:rsidRPr="00693084">
        <w:t xml:space="preserve"> (-</w:t>
      </w:r>
      <w:r w:rsidR="00237377" w:rsidRPr="00693084">
        <w:t>25</w:t>
      </w:r>
      <w:r w:rsidR="007A1D16" w:rsidRPr="00693084">
        <w:t>%), er</w:t>
      </w:r>
      <w:r w:rsidR="008861C9" w:rsidRPr="00693084">
        <w:t xml:space="preserve"> </w:t>
      </w:r>
      <w:r w:rsidR="007A1D16" w:rsidRPr="00693084">
        <w:t xml:space="preserve">zijn </w:t>
      </w:r>
      <w:r w:rsidR="00237377" w:rsidRPr="00693084">
        <w:t xml:space="preserve">fors </w:t>
      </w:r>
      <w:r w:rsidR="00D93231" w:rsidRPr="00693084">
        <w:t>minder</w:t>
      </w:r>
      <w:r w:rsidR="007A1D16" w:rsidRPr="00693084">
        <w:t xml:space="preserve"> meldingen</w:t>
      </w:r>
      <w:r w:rsidR="00D93231" w:rsidRPr="00693084">
        <w:t xml:space="preserve"> </w:t>
      </w:r>
      <w:r w:rsidRPr="00693084">
        <w:t>Jeugdoverlast</w:t>
      </w:r>
      <w:r w:rsidR="007A1D16" w:rsidRPr="00693084">
        <w:t xml:space="preserve"> (-</w:t>
      </w:r>
      <w:r w:rsidR="00237377" w:rsidRPr="00693084">
        <w:t>4</w:t>
      </w:r>
      <w:r w:rsidR="007A1D16" w:rsidRPr="00693084">
        <w:t>5%</w:t>
      </w:r>
      <w:r w:rsidR="00290B4A" w:rsidRPr="00693084">
        <w:t xml:space="preserve">), </w:t>
      </w:r>
      <w:r w:rsidR="007A1D16" w:rsidRPr="00693084">
        <w:t>minder geweldsincidenten (-</w:t>
      </w:r>
      <w:r w:rsidR="00237377" w:rsidRPr="00693084">
        <w:t>23</w:t>
      </w:r>
      <w:r w:rsidR="00290B4A" w:rsidRPr="00693084">
        <w:t xml:space="preserve">%) en minder meldingen </w:t>
      </w:r>
    </w:p>
    <w:p w14:paraId="687A026E" w14:textId="76A602B2" w:rsidR="005234FD" w:rsidRPr="00693084" w:rsidRDefault="00290B4A" w:rsidP="007653A4">
      <w:pPr>
        <w:pStyle w:val="Lijstnummering"/>
        <w:numPr>
          <w:ilvl w:val="0"/>
          <w:numId w:val="0"/>
        </w:numPr>
      </w:pPr>
      <w:r w:rsidRPr="00693084">
        <w:t>burenruzie (-8%)</w:t>
      </w:r>
    </w:p>
    <w:p w14:paraId="49867C9B" w14:textId="77777777" w:rsidR="008E216E" w:rsidRPr="00693084" w:rsidRDefault="008E216E" w:rsidP="007653A4">
      <w:pPr>
        <w:pStyle w:val="Lijstnummering"/>
        <w:numPr>
          <w:ilvl w:val="0"/>
          <w:numId w:val="0"/>
        </w:numPr>
      </w:pPr>
    </w:p>
    <w:p w14:paraId="065946C1" w14:textId="0956F507" w:rsidR="00693084" w:rsidRDefault="00693084" w:rsidP="007653A4">
      <w:pPr>
        <w:autoSpaceDE w:val="0"/>
        <w:autoSpaceDN w:val="0"/>
        <w:adjustRightInd w:val="0"/>
        <w:rPr>
          <w:rFonts w:eastAsiaTheme="minorHAnsi" w:cs="Arial"/>
        </w:rPr>
      </w:pPr>
      <w:r w:rsidRPr="00693084">
        <w:rPr>
          <w:rFonts w:eastAsiaTheme="minorHAnsi" w:cs="Arial"/>
        </w:rPr>
        <w:t>Een integra</w:t>
      </w:r>
      <w:r>
        <w:rPr>
          <w:rFonts w:eastAsiaTheme="minorHAnsi" w:cs="Arial"/>
        </w:rPr>
        <w:t xml:space="preserve">le veiligheidsaanpak, met </w:t>
      </w:r>
      <w:r w:rsidRPr="00693084">
        <w:rPr>
          <w:rFonts w:eastAsiaTheme="minorHAnsi" w:cs="Arial"/>
        </w:rPr>
        <w:t xml:space="preserve">aandacht voor preventie, zorg </w:t>
      </w:r>
      <w:r>
        <w:rPr>
          <w:rFonts w:eastAsiaTheme="minorHAnsi" w:cs="Arial"/>
        </w:rPr>
        <w:t>en</w:t>
      </w:r>
      <w:r w:rsidRPr="00693084">
        <w:rPr>
          <w:rFonts w:eastAsiaTheme="minorHAnsi" w:cs="Arial"/>
        </w:rPr>
        <w:t xml:space="preserve"> repressie</w:t>
      </w:r>
      <w:r>
        <w:rPr>
          <w:rFonts w:eastAsiaTheme="minorHAnsi" w:cs="Arial"/>
        </w:rPr>
        <w:t>,</w:t>
      </w:r>
      <w:r w:rsidRPr="00693084">
        <w:rPr>
          <w:rFonts w:eastAsiaTheme="minorHAnsi" w:cs="Arial"/>
        </w:rPr>
        <w:t xml:space="preserve"> is van belang voor inwoners en bezoekers. Het college wil dat inwoners van Gouda wonen en opgroeien in een veilige omgeving. Een respectvolle omgang van burgers met elkaar en met iedereen die een publieke taak vervult staat daarin centraal. Dit start met een besef van eigen verantwoordelijkheid van burgers voor anderen, de gemeenschap en de omgeving waarin men leeft. Er is aandacht voor preventie voor die buurten en hulpverlening voor gezinnen waarbij dat niet vanzelfsprekend goed gaat, maar repressieve maatregelen worden ook ingezet wanneer dat nodig is.</w:t>
      </w:r>
    </w:p>
    <w:p w14:paraId="29FC0ECA" w14:textId="77777777" w:rsidR="00693084" w:rsidRPr="00693084" w:rsidRDefault="00693084" w:rsidP="007653A4">
      <w:pPr>
        <w:autoSpaceDE w:val="0"/>
        <w:autoSpaceDN w:val="0"/>
        <w:adjustRightInd w:val="0"/>
        <w:rPr>
          <w:rFonts w:eastAsiaTheme="minorHAnsi" w:cs="Arial"/>
        </w:rPr>
      </w:pPr>
    </w:p>
    <w:p w14:paraId="3DE17328" w14:textId="73571624" w:rsidR="008861C9" w:rsidRPr="00693084" w:rsidRDefault="00F75522" w:rsidP="007653A4">
      <w:pPr>
        <w:pStyle w:val="Lijstnummering"/>
        <w:numPr>
          <w:ilvl w:val="0"/>
          <w:numId w:val="0"/>
        </w:numPr>
      </w:pPr>
      <w:r w:rsidRPr="00693084">
        <w:t xml:space="preserve">In deze nieuwe Kadernota </w:t>
      </w:r>
      <w:r w:rsidR="007A1D16" w:rsidRPr="00693084">
        <w:t xml:space="preserve">ligt de </w:t>
      </w:r>
      <w:r w:rsidRPr="00693084">
        <w:t xml:space="preserve">focus op een </w:t>
      </w:r>
      <w:r w:rsidR="007A1D16" w:rsidRPr="00693084">
        <w:t>drietal prioriteiten:</w:t>
      </w:r>
      <w:r w:rsidRPr="00693084">
        <w:t xml:space="preserve"> </w:t>
      </w:r>
      <w:r w:rsidR="0087342D" w:rsidRPr="00693084">
        <w:t xml:space="preserve">1) </w:t>
      </w:r>
      <w:r w:rsidR="007A1D16" w:rsidRPr="00693084">
        <w:t>de woningi</w:t>
      </w:r>
      <w:r w:rsidRPr="00693084">
        <w:t>nb</w:t>
      </w:r>
      <w:r w:rsidR="009755E3" w:rsidRPr="00693084">
        <w:t xml:space="preserve">raken </w:t>
      </w:r>
      <w:r w:rsidR="007541D3" w:rsidRPr="00693084">
        <w:t>verder omlaag brengen</w:t>
      </w:r>
      <w:r w:rsidR="009755E3" w:rsidRPr="00693084">
        <w:t xml:space="preserve"> door </w:t>
      </w:r>
      <w:r w:rsidR="007A1D16" w:rsidRPr="00693084">
        <w:t xml:space="preserve">de </w:t>
      </w:r>
      <w:r w:rsidRPr="00693084">
        <w:t>jeugdcriminaliteit</w:t>
      </w:r>
      <w:r w:rsidR="007A1D16" w:rsidRPr="00693084">
        <w:t xml:space="preserve"> </w:t>
      </w:r>
      <w:r w:rsidR="00ED534F" w:rsidRPr="00693084">
        <w:t xml:space="preserve">(inclusief </w:t>
      </w:r>
    </w:p>
    <w:p w14:paraId="0B8FE44B" w14:textId="77777777" w:rsidR="00625B32" w:rsidRPr="00693084" w:rsidRDefault="00ED534F" w:rsidP="007653A4">
      <w:pPr>
        <w:pStyle w:val="Lijstnummering"/>
        <w:numPr>
          <w:ilvl w:val="0"/>
          <w:numId w:val="0"/>
        </w:numPr>
      </w:pPr>
      <w:r w:rsidRPr="00693084">
        <w:t xml:space="preserve">drugsproblemen en radicalisering) </w:t>
      </w:r>
      <w:r w:rsidR="00CF44F1" w:rsidRPr="00693084">
        <w:t>meer</w:t>
      </w:r>
      <w:r w:rsidRPr="00693084">
        <w:t xml:space="preserve"> </w:t>
      </w:r>
      <w:r w:rsidR="00F75522" w:rsidRPr="00693084">
        <w:t xml:space="preserve">integraal </w:t>
      </w:r>
      <w:r w:rsidR="007A1D16" w:rsidRPr="00693084">
        <w:t>aan</w:t>
      </w:r>
      <w:r w:rsidR="007541D3" w:rsidRPr="00693084">
        <w:t xml:space="preserve"> te pakken</w:t>
      </w:r>
      <w:r w:rsidR="00F75522" w:rsidRPr="00693084">
        <w:t xml:space="preserve">, </w:t>
      </w:r>
      <w:r w:rsidR="0087342D" w:rsidRPr="00693084">
        <w:t xml:space="preserve">2) </w:t>
      </w:r>
      <w:r w:rsidR="007A1D16" w:rsidRPr="00693084">
        <w:t>de</w:t>
      </w:r>
      <w:r w:rsidR="005234FD" w:rsidRPr="00693084">
        <w:t xml:space="preserve"> stad</w:t>
      </w:r>
      <w:r w:rsidR="007A1D16" w:rsidRPr="00693084">
        <w:t xml:space="preserve"> weerbaar</w:t>
      </w:r>
      <w:r w:rsidR="00625B32" w:rsidRPr="00693084">
        <w:t>der</w:t>
      </w:r>
      <w:r w:rsidR="007541D3" w:rsidRPr="00693084">
        <w:t xml:space="preserve"> maken</w:t>
      </w:r>
      <w:r w:rsidR="005234FD" w:rsidRPr="00693084">
        <w:t xml:space="preserve"> tegen on</w:t>
      </w:r>
      <w:r w:rsidR="00F75522" w:rsidRPr="00693084">
        <w:t>dermijning,</w:t>
      </w:r>
      <w:r w:rsidR="007A1D16" w:rsidRPr="00693084">
        <w:t xml:space="preserve"> en </w:t>
      </w:r>
      <w:r w:rsidR="0087342D" w:rsidRPr="00693084">
        <w:t xml:space="preserve">3) </w:t>
      </w:r>
      <w:r w:rsidR="007541D3" w:rsidRPr="00693084">
        <w:t>de</w:t>
      </w:r>
      <w:r w:rsidR="007A1D16" w:rsidRPr="00693084">
        <w:t xml:space="preserve"> woonoverlast</w:t>
      </w:r>
      <w:r w:rsidR="00625B32" w:rsidRPr="00693084">
        <w:t xml:space="preserve"> en overlast door</w:t>
      </w:r>
    </w:p>
    <w:p w14:paraId="6BD8F90F" w14:textId="38FB6B7B" w:rsidR="00D93231" w:rsidRPr="00693084" w:rsidRDefault="007106F2" w:rsidP="007653A4">
      <w:pPr>
        <w:pStyle w:val="Lijstnummering"/>
        <w:numPr>
          <w:ilvl w:val="0"/>
          <w:numId w:val="0"/>
        </w:numPr>
      </w:pPr>
      <w:r>
        <w:t>personen met verward gedrag</w:t>
      </w:r>
      <w:r w:rsidR="007A1D16" w:rsidRPr="00693084">
        <w:t xml:space="preserve"> aan</w:t>
      </w:r>
      <w:r w:rsidR="007541D3" w:rsidRPr="00693084">
        <w:t>pakken</w:t>
      </w:r>
      <w:r w:rsidR="007A1D16" w:rsidRPr="00693084">
        <w:t>.</w:t>
      </w:r>
    </w:p>
    <w:p w14:paraId="3183C415" w14:textId="77777777" w:rsidR="008E216E" w:rsidRPr="00693084" w:rsidRDefault="008E216E" w:rsidP="007653A4">
      <w:pPr>
        <w:pStyle w:val="Lijstnummering"/>
        <w:numPr>
          <w:ilvl w:val="0"/>
          <w:numId w:val="0"/>
        </w:numPr>
      </w:pPr>
      <w:r w:rsidRPr="00693084">
        <w:t xml:space="preserve">In de afgelopen periode zijn er goede resultaten geboekt door de inzet van alle veiligheidspartners samen en is de samenwerking met de partners op zorg </w:t>
      </w:r>
    </w:p>
    <w:p w14:paraId="7DD7B553" w14:textId="45D02975" w:rsidR="007A1D16" w:rsidRPr="00693084" w:rsidRDefault="008E216E" w:rsidP="007653A4">
      <w:pPr>
        <w:pStyle w:val="Lijstnummering"/>
        <w:numPr>
          <w:ilvl w:val="0"/>
          <w:numId w:val="0"/>
        </w:numPr>
      </w:pPr>
      <w:r w:rsidRPr="00693084">
        <w:t xml:space="preserve">goed op gang gekomen. Ook in de komende periode </w:t>
      </w:r>
      <w:r w:rsidR="007541D3" w:rsidRPr="00693084">
        <w:t>zetten de veiligheidspartners zich</w:t>
      </w:r>
      <w:r w:rsidRPr="00693084">
        <w:t xml:space="preserve"> in voor een </w:t>
      </w:r>
      <w:r w:rsidR="00625B32" w:rsidRPr="00693084">
        <w:t>veilige en sterke stad, waar bewoners zich veilig voelen.</w:t>
      </w:r>
    </w:p>
    <w:p w14:paraId="018FFD87" w14:textId="77777777" w:rsidR="008E216E" w:rsidRPr="00693084" w:rsidRDefault="008E216E" w:rsidP="007653A4">
      <w:pPr>
        <w:autoSpaceDE w:val="0"/>
        <w:autoSpaceDN w:val="0"/>
        <w:adjustRightInd w:val="0"/>
        <w:rPr>
          <w:rFonts w:eastAsiaTheme="minorHAnsi" w:cs="Arial"/>
        </w:rPr>
      </w:pPr>
    </w:p>
    <w:p w14:paraId="57541B2D" w14:textId="675E08AE" w:rsidR="007A1D16" w:rsidRPr="00693084" w:rsidRDefault="007A1D16" w:rsidP="007653A4">
      <w:pPr>
        <w:autoSpaceDE w:val="0"/>
        <w:autoSpaceDN w:val="0"/>
        <w:adjustRightInd w:val="0"/>
        <w:rPr>
          <w:rFonts w:eastAsiaTheme="minorHAnsi" w:cs="Arial"/>
        </w:rPr>
      </w:pPr>
      <w:r w:rsidRPr="00693084">
        <w:rPr>
          <w:rFonts w:eastAsiaTheme="minorHAnsi" w:cs="Arial"/>
        </w:rPr>
        <w:t xml:space="preserve">Criminaliteit en hinderlijke overlast worden onverminderd stevig aangepakt. Het </w:t>
      </w:r>
      <w:r w:rsidR="001D63E9" w:rsidRPr="00693084">
        <w:rPr>
          <w:rFonts w:eastAsiaTheme="minorHAnsi" w:cs="Arial"/>
        </w:rPr>
        <w:t>aantal unieke</w:t>
      </w:r>
      <w:r w:rsidRPr="00693084">
        <w:rPr>
          <w:rFonts w:eastAsiaTheme="minorHAnsi" w:cs="Arial"/>
        </w:rPr>
        <w:t xml:space="preserve"> veelplegers en overlastgevers is weliswaar beperkt, de uitstraling op de stad en de uitwerking voor </w:t>
      </w:r>
      <w:r w:rsidR="00154F7E" w:rsidRPr="00693084">
        <w:rPr>
          <w:rFonts w:eastAsiaTheme="minorHAnsi" w:cs="Arial"/>
        </w:rPr>
        <w:t xml:space="preserve">de </w:t>
      </w:r>
      <w:r w:rsidRPr="00693084">
        <w:rPr>
          <w:rFonts w:eastAsiaTheme="minorHAnsi" w:cs="Arial"/>
        </w:rPr>
        <w:t>omgeving</w:t>
      </w:r>
      <w:r w:rsidR="00154F7E" w:rsidRPr="00693084">
        <w:rPr>
          <w:rFonts w:eastAsiaTheme="minorHAnsi" w:cs="Arial"/>
        </w:rPr>
        <w:t xml:space="preserve"> van deze daders</w:t>
      </w:r>
      <w:r w:rsidRPr="00693084">
        <w:rPr>
          <w:rFonts w:eastAsiaTheme="minorHAnsi" w:cs="Arial"/>
        </w:rPr>
        <w:t xml:space="preserve"> </w:t>
      </w:r>
      <w:r w:rsidR="00A75E39" w:rsidRPr="00693084">
        <w:rPr>
          <w:rFonts w:eastAsiaTheme="minorHAnsi" w:cs="Arial"/>
        </w:rPr>
        <w:t>kan</w:t>
      </w:r>
      <w:r w:rsidRPr="00693084">
        <w:rPr>
          <w:rFonts w:eastAsiaTheme="minorHAnsi" w:cs="Arial"/>
        </w:rPr>
        <w:t xml:space="preserve"> soms </w:t>
      </w:r>
      <w:r w:rsidR="00ED534F" w:rsidRPr="00693084">
        <w:rPr>
          <w:rFonts w:eastAsiaTheme="minorHAnsi" w:cs="Arial"/>
        </w:rPr>
        <w:t xml:space="preserve">erg </w:t>
      </w:r>
      <w:r w:rsidRPr="00693084">
        <w:rPr>
          <w:rFonts w:eastAsiaTheme="minorHAnsi" w:cs="Arial"/>
        </w:rPr>
        <w:t>groot</w:t>
      </w:r>
      <w:r w:rsidR="00A75E39" w:rsidRPr="00693084">
        <w:rPr>
          <w:rFonts w:eastAsiaTheme="minorHAnsi" w:cs="Arial"/>
        </w:rPr>
        <w:t xml:space="preserve"> zijn</w:t>
      </w:r>
      <w:r w:rsidRPr="00693084">
        <w:rPr>
          <w:rFonts w:eastAsiaTheme="minorHAnsi" w:cs="Arial"/>
        </w:rPr>
        <w:t>. Gemeente, politie</w:t>
      </w:r>
      <w:r w:rsidR="00154F7E" w:rsidRPr="00693084">
        <w:rPr>
          <w:rFonts w:eastAsiaTheme="minorHAnsi" w:cs="Arial"/>
        </w:rPr>
        <w:t>,</w:t>
      </w:r>
      <w:r w:rsidRPr="00693084">
        <w:rPr>
          <w:rFonts w:eastAsiaTheme="minorHAnsi" w:cs="Arial"/>
        </w:rPr>
        <w:t xml:space="preserve"> Openbaar Ministerie en andere veiligheidspartners zetten alle middelen in om dit gedrag een halt toe te roepen.</w:t>
      </w:r>
    </w:p>
    <w:p w14:paraId="50A36816" w14:textId="77777777" w:rsidR="007A1D16" w:rsidRPr="00693084" w:rsidRDefault="007A1D16" w:rsidP="007653A4">
      <w:pPr>
        <w:autoSpaceDE w:val="0"/>
        <w:autoSpaceDN w:val="0"/>
        <w:adjustRightInd w:val="0"/>
        <w:rPr>
          <w:rFonts w:eastAsiaTheme="minorHAnsi" w:cs="Arial"/>
        </w:rPr>
      </w:pPr>
    </w:p>
    <w:p w14:paraId="5B5C678E" w14:textId="1D7FE35D" w:rsidR="00F75522" w:rsidRDefault="0021367E" w:rsidP="007653A4">
      <w:pPr>
        <w:spacing w:after="200" w:line="276" w:lineRule="auto"/>
      </w:pPr>
      <w:r w:rsidRPr="00693084">
        <w:t xml:space="preserve">Ieder jaar </w:t>
      </w:r>
      <w:r w:rsidR="00E13B7E" w:rsidRPr="00693084">
        <w:t>wordt er een j</w:t>
      </w:r>
      <w:r w:rsidR="00870781" w:rsidRPr="00693084">
        <w:t>aarplan gemaakt</w:t>
      </w:r>
      <w:r w:rsidR="00E13B7E" w:rsidRPr="00693084">
        <w:t>, het Actieplan</w:t>
      </w:r>
      <w:r w:rsidR="001D63E9" w:rsidRPr="00693084">
        <w:t xml:space="preserve"> veiligheid</w:t>
      </w:r>
      <w:r w:rsidR="00E13B7E" w:rsidRPr="00693084">
        <w:t>,</w:t>
      </w:r>
      <w:r w:rsidR="00870781" w:rsidRPr="00693084">
        <w:t xml:space="preserve"> waarin de inzet en de maatregelen voor dat jaar ui</w:t>
      </w:r>
      <w:r w:rsidR="00E13B7E" w:rsidRPr="00693084">
        <w:t xml:space="preserve">tgewerkt worden, </w:t>
      </w:r>
      <w:r w:rsidR="00743877" w:rsidRPr="00693084">
        <w:t>inclusief</w:t>
      </w:r>
      <w:r w:rsidR="00E13B7E" w:rsidRPr="00693084">
        <w:rPr>
          <w:lang w:eastAsia="en-US"/>
        </w:rPr>
        <w:t xml:space="preserve"> meetbare indicatoren.</w:t>
      </w:r>
      <w:r w:rsidR="00E13B7E">
        <w:rPr>
          <w:lang w:eastAsia="en-US"/>
        </w:rPr>
        <w:t xml:space="preserve"> </w:t>
      </w:r>
    </w:p>
    <w:p w14:paraId="50960583" w14:textId="77777777" w:rsidR="0021367E" w:rsidRDefault="0021367E" w:rsidP="007653A4">
      <w:pPr>
        <w:spacing w:after="200" w:line="276" w:lineRule="auto"/>
      </w:pPr>
    </w:p>
    <w:p w14:paraId="265E4C95" w14:textId="77777777" w:rsidR="0021367E" w:rsidRDefault="0021367E" w:rsidP="007653A4">
      <w:pPr>
        <w:spacing w:after="200" w:line="276" w:lineRule="auto"/>
      </w:pPr>
    </w:p>
    <w:p w14:paraId="1CEA9906" w14:textId="77777777" w:rsidR="0021367E" w:rsidRDefault="0021367E" w:rsidP="007653A4">
      <w:pPr>
        <w:spacing w:after="200" w:line="276" w:lineRule="auto"/>
      </w:pPr>
    </w:p>
    <w:p w14:paraId="02FDA920" w14:textId="03ED9AD0" w:rsidR="00F75522" w:rsidRDefault="00091A70" w:rsidP="007653A4">
      <w:pPr>
        <w:pStyle w:val="Itemsnrsniveau1"/>
      </w:pPr>
      <w:bookmarkStart w:id="8" w:name="_Toc531857279"/>
      <w:r>
        <w:t>Coalitieakkoord en uitgangspunten</w:t>
      </w:r>
      <w:bookmarkEnd w:id="8"/>
    </w:p>
    <w:p w14:paraId="584DF1BD" w14:textId="77777777" w:rsidR="00174CA0" w:rsidRDefault="00174CA0" w:rsidP="007653A4">
      <w:pPr>
        <w:pStyle w:val="Lijstnummering"/>
        <w:numPr>
          <w:ilvl w:val="0"/>
          <w:numId w:val="0"/>
        </w:numPr>
        <w:ind w:left="360"/>
      </w:pPr>
    </w:p>
    <w:p w14:paraId="31BF53F6" w14:textId="58344463" w:rsidR="0057422B" w:rsidRDefault="0057422B" w:rsidP="007653A4">
      <w:pPr>
        <w:pStyle w:val="Lijstnummering"/>
        <w:numPr>
          <w:ilvl w:val="0"/>
          <w:numId w:val="0"/>
        </w:numPr>
      </w:pPr>
      <w:r>
        <w:t xml:space="preserve">Het veiligheidsbeleid sluit aan op </w:t>
      </w:r>
      <w:r w:rsidR="00DC12A5">
        <w:t xml:space="preserve">de </w:t>
      </w:r>
      <w:r>
        <w:t>onderstaande aandachtspunten uit</w:t>
      </w:r>
      <w:r w:rsidR="00BC406A">
        <w:t xml:space="preserve"> het coalitieakkoord</w:t>
      </w:r>
      <w:r>
        <w:t xml:space="preserve"> Nieuwe Energie voor de periode</w:t>
      </w:r>
      <w:r w:rsidR="00BC406A">
        <w:t xml:space="preserve"> </w:t>
      </w:r>
      <w:r>
        <w:t xml:space="preserve">2018-2022, de landelijke </w:t>
      </w:r>
    </w:p>
    <w:p w14:paraId="66F94E56" w14:textId="4A84A031" w:rsidR="00BC406A" w:rsidRDefault="0057422B" w:rsidP="007653A4">
      <w:pPr>
        <w:pStyle w:val="Lijstnummering"/>
        <w:numPr>
          <w:ilvl w:val="0"/>
          <w:numId w:val="0"/>
        </w:numPr>
      </w:pPr>
      <w:r>
        <w:t xml:space="preserve">veiligheidsagenda en het regionaal beleidsplan. Daarnaast </w:t>
      </w:r>
      <w:r w:rsidR="00154F7E">
        <w:t>beschrijft</w:t>
      </w:r>
      <w:r>
        <w:t xml:space="preserve"> dit hoofdstuk welke uitgangspunten in de aanpak centraal staan. </w:t>
      </w:r>
    </w:p>
    <w:p w14:paraId="413FB395" w14:textId="77777777" w:rsidR="00174CA0" w:rsidRDefault="00174CA0" w:rsidP="007653A4">
      <w:pPr>
        <w:pStyle w:val="Lijstnummering"/>
        <w:numPr>
          <w:ilvl w:val="0"/>
          <w:numId w:val="0"/>
        </w:numPr>
      </w:pPr>
    </w:p>
    <w:p w14:paraId="43D93664" w14:textId="22693368" w:rsidR="00F75522" w:rsidRPr="004769CB" w:rsidRDefault="00174CA0" w:rsidP="007653A4">
      <w:pPr>
        <w:pStyle w:val="Lijstnummering"/>
        <w:numPr>
          <w:ilvl w:val="0"/>
          <w:numId w:val="0"/>
        </w:numPr>
        <w:rPr>
          <w:b/>
        </w:rPr>
      </w:pPr>
      <w:r w:rsidRPr="004769CB">
        <w:rPr>
          <w:b/>
        </w:rPr>
        <w:t>Aandachtspunten u</w:t>
      </w:r>
      <w:r w:rsidR="005360E5" w:rsidRPr="004769CB">
        <w:rPr>
          <w:b/>
        </w:rPr>
        <w:t>it het c</w:t>
      </w:r>
      <w:r w:rsidR="009559F6" w:rsidRPr="004769CB">
        <w:rPr>
          <w:b/>
        </w:rPr>
        <w:t>oalitieakkoord</w:t>
      </w:r>
      <w:r w:rsidR="00DC12A5">
        <w:rPr>
          <w:b/>
        </w:rPr>
        <w:t xml:space="preserve"> die verwerkt zijn in deze kadernota:</w:t>
      </w:r>
    </w:p>
    <w:p w14:paraId="7F087D4E" w14:textId="77777777" w:rsidR="00987A25" w:rsidRDefault="00987A25" w:rsidP="007653A4">
      <w:pPr>
        <w:pStyle w:val="Lijstnummering"/>
        <w:numPr>
          <w:ilvl w:val="0"/>
          <w:numId w:val="0"/>
        </w:numPr>
        <w:ind w:left="360"/>
      </w:pPr>
    </w:p>
    <w:p w14:paraId="03BC1785" w14:textId="5FDB6AAA" w:rsidR="002D579D" w:rsidRDefault="009559F6" w:rsidP="007653A4">
      <w:pPr>
        <w:pStyle w:val="Lijstnummering"/>
        <w:numPr>
          <w:ilvl w:val="0"/>
          <w:numId w:val="31"/>
        </w:numPr>
        <w:ind w:firstLine="0"/>
      </w:pPr>
      <w:r>
        <w:t>Betrek bewoners op wijk-</w:t>
      </w:r>
      <w:r w:rsidR="001A19BB">
        <w:t xml:space="preserve"> </w:t>
      </w:r>
      <w:r>
        <w:t>en buurtniveau</w:t>
      </w:r>
      <w:r w:rsidR="002D579D">
        <w:t xml:space="preserve"> bij het veiligheidsbeleid, waardeer initiatieven</w:t>
      </w:r>
    </w:p>
    <w:p w14:paraId="61DEF84B" w14:textId="3C73FDBE" w:rsidR="002D579D" w:rsidRDefault="002D579D" w:rsidP="007653A4">
      <w:pPr>
        <w:pStyle w:val="Lijstnummering"/>
        <w:numPr>
          <w:ilvl w:val="0"/>
          <w:numId w:val="31"/>
        </w:numPr>
        <w:ind w:firstLine="0"/>
      </w:pPr>
      <w:r>
        <w:t>De m</w:t>
      </w:r>
      <w:r w:rsidR="009559F6">
        <w:t xml:space="preserve">iddelen voor leefbaarheid, woninginbraken en ondermijning </w:t>
      </w:r>
      <w:r>
        <w:t>worden structureel aangevuld</w:t>
      </w:r>
    </w:p>
    <w:p w14:paraId="41E8512D" w14:textId="77777777" w:rsidR="00F14069" w:rsidRDefault="00F14069" w:rsidP="007653A4">
      <w:pPr>
        <w:pStyle w:val="Lijstnummering"/>
        <w:numPr>
          <w:ilvl w:val="0"/>
          <w:numId w:val="31"/>
        </w:numPr>
        <w:ind w:firstLine="0"/>
      </w:pPr>
      <w:r>
        <w:t>Ten aanzien van j</w:t>
      </w:r>
      <w:r w:rsidR="002D579D">
        <w:t>eu</w:t>
      </w:r>
      <w:r w:rsidR="009559F6">
        <w:t>gd</w:t>
      </w:r>
      <w:r w:rsidR="00987A25">
        <w:t>criminaliteit en jeugdoverlast</w:t>
      </w:r>
      <w:r>
        <w:t xml:space="preserve"> geldt dat de aanpak van</w:t>
      </w:r>
      <w:r w:rsidR="009559F6">
        <w:t xml:space="preserve"> grenzen stellen en perspectief bieden</w:t>
      </w:r>
      <w:r>
        <w:t xml:space="preserve"> gecontinueerd wordt</w:t>
      </w:r>
    </w:p>
    <w:p w14:paraId="087F15D3" w14:textId="5278DFB1" w:rsidR="009559F6" w:rsidRDefault="00F14069" w:rsidP="007653A4">
      <w:pPr>
        <w:pStyle w:val="Lijstnummering"/>
        <w:numPr>
          <w:ilvl w:val="0"/>
          <w:numId w:val="31"/>
        </w:numPr>
        <w:ind w:firstLine="0"/>
      </w:pPr>
      <w:r>
        <w:t>Het jongerenwerk moet een effectief onderdeel zijn van de veiligheidsaanpak</w:t>
      </w:r>
      <w:r w:rsidR="002F5660">
        <w:t>, met een focus op preventie en jongere jeugd</w:t>
      </w:r>
    </w:p>
    <w:p w14:paraId="0E74F767" w14:textId="77777777" w:rsidR="00987A25" w:rsidRDefault="00F14069" w:rsidP="007653A4">
      <w:pPr>
        <w:pStyle w:val="Lijstnummering"/>
        <w:numPr>
          <w:ilvl w:val="0"/>
          <w:numId w:val="31"/>
        </w:numPr>
        <w:ind w:firstLine="0"/>
      </w:pPr>
      <w:r>
        <w:t>Zoek een evenwichtige mix van p</w:t>
      </w:r>
      <w:r w:rsidR="009559F6">
        <w:t>reventie en repressie</w:t>
      </w:r>
    </w:p>
    <w:p w14:paraId="3843E34A" w14:textId="77777777" w:rsidR="003312B8" w:rsidRDefault="00987A25" w:rsidP="007653A4">
      <w:pPr>
        <w:pStyle w:val="Lijstnummering"/>
        <w:numPr>
          <w:ilvl w:val="0"/>
          <w:numId w:val="31"/>
        </w:numPr>
        <w:ind w:firstLine="0"/>
      </w:pPr>
      <w:r>
        <w:t>Ondermijning</w:t>
      </w:r>
      <w:r w:rsidR="003312B8">
        <w:t xml:space="preserve"> moet aangepakt worden, met name fraude met vastgoed en toepassen van </w:t>
      </w:r>
      <w:proofErr w:type="spellStart"/>
      <w:r w:rsidR="003312B8">
        <w:t>bibob</w:t>
      </w:r>
      <w:proofErr w:type="spellEnd"/>
      <w:r w:rsidR="003312B8">
        <w:t>-onderzoek</w:t>
      </w:r>
    </w:p>
    <w:p w14:paraId="1F73628E" w14:textId="77777777" w:rsidR="00091A70" w:rsidRDefault="00091A70" w:rsidP="007653A4">
      <w:pPr>
        <w:pStyle w:val="Lijstnummering"/>
        <w:numPr>
          <w:ilvl w:val="0"/>
          <w:numId w:val="31"/>
        </w:numPr>
        <w:ind w:firstLine="0"/>
      </w:pPr>
      <w:r>
        <w:t xml:space="preserve">We maken ons hard voor de lobby </w:t>
      </w:r>
      <w:r w:rsidR="00581C43">
        <w:t xml:space="preserve">gericht </w:t>
      </w:r>
      <w:r>
        <w:t>op rijksmiddelen voor ondermijning</w:t>
      </w:r>
    </w:p>
    <w:p w14:paraId="28989ECE" w14:textId="7825F438" w:rsidR="00987A25" w:rsidRDefault="00015D00" w:rsidP="007653A4">
      <w:pPr>
        <w:pStyle w:val="Lijstnummering"/>
        <w:numPr>
          <w:ilvl w:val="0"/>
          <w:numId w:val="31"/>
        </w:numPr>
        <w:ind w:firstLine="0"/>
      </w:pPr>
      <w:r>
        <w:t>Prostitutie</w:t>
      </w:r>
      <w:r w:rsidR="003312B8">
        <w:t xml:space="preserve">beleid </w:t>
      </w:r>
      <w:r w:rsidR="00581C43">
        <w:t xml:space="preserve">wordt </w:t>
      </w:r>
      <w:r w:rsidR="00091A70">
        <w:t>geëvalueerd</w:t>
      </w:r>
      <w:r w:rsidR="003312B8">
        <w:t>, bestrijden van</w:t>
      </w:r>
      <w:r>
        <w:t xml:space="preserve"> mensenhandel</w:t>
      </w:r>
      <w:r w:rsidR="003312B8">
        <w:t xml:space="preserve"> in brede zin is van belang</w:t>
      </w:r>
    </w:p>
    <w:p w14:paraId="021107AD" w14:textId="061A0FC0" w:rsidR="003312B8" w:rsidRDefault="003312B8" w:rsidP="007653A4">
      <w:pPr>
        <w:pStyle w:val="Lijstnummering"/>
        <w:numPr>
          <w:ilvl w:val="0"/>
          <w:numId w:val="31"/>
        </w:numPr>
        <w:ind w:firstLine="0"/>
      </w:pPr>
      <w:r>
        <w:t>De overheid heeft een beschermende rol bij r</w:t>
      </w:r>
      <w:r w:rsidR="00987A25">
        <w:t xml:space="preserve">adicalisering en extremisme: </w:t>
      </w:r>
      <w:r>
        <w:t xml:space="preserve">de </w:t>
      </w:r>
      <w:r w:rsidR="00987A25">
        <w:t>samenleving en individuen weerbaar maken</w:t>
      </w:r>
    </w:p>
    <w:p w14:paraId="62602C39" w14:textId="77777777" w:rsidR="00987A25" w:rsidRDefault="00987A25" w:rsidP="007653A4">
      <w:pPr>
        <w:pStyle w:val="Lijstnummering"/>
        <w:numPr>
          <w:ilvl w:val="0"/>
          <w:numId w:val="31"/>
        </w:numPr>
        <w:ind w:firstLine="0"/>
      </w:pPr>
      <w:r>
        <w:t xml:space="preserve">Ook andere vormen van extremisme en haat </w:t>
      </w:r>
      <w:r w:rsidR="00091A70">
        <w:t xml:space="preserve">willen we </w:t>
      </w:r>
      <w:r>
        <w:t>aanpakken</w:t>
      </w:r>
    </w:p>
    <w:p w14:paraId="1E8D5F47" w14:textId="77777777" w:rsidR="00987A25" w:rsidRDefault="00987A25" w:rsidP="007653A4">
      <w:pPr>
        <w:pStyle w:val="Lijstnummering"/>
        <w:numPr>
          <w:ilvl w:val="0"/>
          <w:numId w:val="31"/>
        </w:numPr>
        <w:ind w:firstLine="0"/>
      </w:pPr>
      <w:r>
        <w:t>Softdrugsbeleid: geen blowverbod, geen wietteelt experimenten,</w:t>
      </w:r>
      <w:r w:rsidR="00091A70">
        <w:t xml:space="preserve"> het maximale aantal coffeeshops blijft gehandhaafd op vier.</w:t>
      </w:r>
    </w:p>
    <w:p w14:paraId="022A7ABF" w14:textId="355A3DFE" w:rsidR="002F5660" w:rsidRDefault="002F5660" w:rsidP="007653A4">
      <w:pPr>
        <w:pStyle w:val="Lijstnummering"/>
        <w:numPr>
          <w:ilvl w:val="0"/>
          <w:numId w:val="31"/>
        </w:numPr>
        <w:ind w:firstLine="0"/>
      </w:pPr>
      <w:r>
        <w:t>De moge</w:t>
      </w:r>
      <w:r w:rsidR="00181C75">
        <w:t>lijkheid van vuurwerkvrije zones wordt onder de aandacht gebracht</w:t>
      </w:r>
    </w:p>
    <w:p w14:paraId="2A977F5C" w14:textId="77777777" w:rsidR="00FE3FFA" w:rsidRDefault="00FE3FFA" w:rsidP="007653A4">
      <w:pPr>
        <w:pStyle w:val="Lijstnummering"/>
        <w:numPr>
          <w:ilvl w:val="0"/>
          <w:numId w:val="0"/>
        </w:numPr>
      </w:pPr>
    </w:p>
    <w:p w14:paraId="10FDBDDF" w14:textId="77777777" w:rsidR="00FE3FFA" w:rsidRDefault="00FE3FFA" w:rsidP="007653A4">
      <w:pPr>
        <w:pStyle w:val="Lijstnummering"/>
        <w:numPr>
          <w:ilvl w:val="0"/>
          <w:numId w:val="0"/>
        </w:numPr>
        <w:rPr>
          <w:b/>
        </w:rPr>
      </w:pPr>
    </w:p>
    <w:p w14:paraId="0C212753" w14:textId="77777777" w:rsidR="00956561" w:rsidRPr="005360E5" w:rsidRDefault="00D95869" w:rsidP="007653A4">
      <w:pPr>
        <w:pStyle w:val="Lijstnummering"/>
        <w:numPr>
          <w:ilvl w:val="0"/>
          <w:numId w:val="0"/>
        </w:numPr>
        <w:rPr>
          <w:b/>
        </w:rPr>
      </w:pPr>
      <w:r>
        <w:rPr>
          <w:b/>
        </w:rPr>
        <w:t>Uitgangspunten in de veiligheidsaanpak:</w:t>
      </w:r>
    </w:p>
    <w:p w14:paraId="6EEE55F8" w14:textId="77777777" w:rsidR="00085801" w:rsidRDefault="00085801" w:rsidP="007653A4">
      <w:pPr>
        <w:pStyle w:val="Lijstnummering"/>
        <w:numPr>
          <w:ilvl w:val="0"/>
          <w:numId w:val="0"/>
        </w:numPr>
      </w:pPr>
    </w:p>
    <w:p w14:paraId="4864FB7C" w14:textId="77777777" w:rsidR="00D95869" w:rsidRPr="001F3037" w:rsidRDefault="00D95869" w:rsidP="007653A4">
      <w:pPr>
        <w:pStyle w:val="Lijstnummering"/>
        <w:numPr>
          <w:ilvl w:val="0"/>
          <w:numId w:val="0"/>
        </w:numPr>
        <w:rPr>
          <w:b/>
        </w:rPr>
      </w:pPr>
      <w:proofErr w:type="spellStart"/>
      <w:r w:rsidRPr="001F3037">
        <w:rPr>
          <w:b/>
        </w:rPr>
        <w:t>Informatiegestuurd</w:t>
      </w:r>
      <w:proofErr w:type="spellEnd"/>
      <w:r w:rsidRPr="001F3037">
        <w:rPr>
          <w:b/>
        </w:rPr>
        <w:t xml:space="preserve"> en </w:t>
      </w:r>
      <w:proofErr w:type="spellStart"/>
      <w:r w:rsidRPr="001F3037">
        <w:rPr>
          <w:b/>
        </w:rPr>
        <w:t>datagedreven</w:t>
      </w:r>
      <w:proofErr w:type="spellEnd"/>
    </w:p>
    <w:p w14:paraId="6510AF91" w14:textId="77777777" w:rsidR="00AA37A1" w:rsidRDefault="00AA37A1" w:rsidP="007653A4">
      <w:pPr>
        <w:pStyle w:val="Lijstnummering"/>
        <w:numPr>
          <w:ilvl w:val="0"/>
          <w:numId w:val="0"/>
        </w:numPr>
      </w:pPr>
      <w:r>
        <w:t xml:space="preserve">Voor een goede aanpak moeten de veiligheidspartners weten wat er speelt in de stad. Die kennis is aanwezig bij de professionals op straat, vanuit hun </w:t>
      </w:r>
    </w:p>
    <w:p w14:paraId="4C2C409E" w14:textId="77C54BC9" w:rsidR="00AA37A1" w:rsidRDefault="00AA37A1" w:rsidP="007653A4">
      <w:pPr>
        <w:pStyle w:val="Lijstnummering"/>
        <w:numPr>
          <w:ilvl w:val="0"/>
          <w:numId w:val="0"/>
        </w:numPr>
      </w:pPr>
      <w:r>
        <w:t>contact met bewoners en ondernemers. Daarnaast geven cijfers inzicht in de aard en omvang van problemen. Door actu</w:t>
      </w:r>
      <w:r w:rsidR="00BC406A">
        <w:t>ele monitoring van de cijfers</w:t>
      </w:r>
      <w:r>
        <w:t xml:space="preserve">, </w:t>
      </w:r>
    </w:p>
    <w:p w14:paraId="10BB21BF" w14:textId="77777777" w:rsidR="0000260A" w:rsidRDefault="00AA37A1" w:rsidP="007653A4">
      <w:pPr>
        <w:pStyle w:val="Lijstnummering"/>
        <w:numPr>
          <w:ilvl w:val="0"/>
          <w:numId w:val="0"/>
        </w:numPr>
      </w:pPr>
      <w:r>
        <w:t>aangevuld met verhalen en ervaring</w:t>
      </w:r>
      <w:r w:rsidR="00581C43">
        <w:t>en</w:t>
      </w:r>
      <w:r w:rsidR="001D63E9">
        <w:t xml:space="preserve"> van bewoners en professionals die werken in onze stad</w:t>
      </w:r>
      <w:r>
        <w:t xml:space="preserve">, </w:t>
      </w:r>
      <w:r w:rsidR="0000260A">
        <w:t>kan iedereen</w:t>
      </w:r>
      <w:r>
        <w:t xml:space="preserve"> goed </w:t>
      </w:r>
      <w:r w:rsidR="000C09A4">
        <w:t>geïnformeerd</w:t>
      </w:r>
      <w:r w:rsidR="002E5A31">
        <w:t xml:space="preserve"> </w:t>
      </w:r>
      <w:r w:rsidR="0000260A">
        <w:t>zij</w:t>
      </w:r>
      <w:r w:rsidR="002E5A31">
        <w:t>n werk doen.</w:t>
      </w:r>
      <w:r w:rsidR="00BC406A">
        <w:t xml:space="preserve"> </w:t>
      </w:r>
      <w:r w:rsidR="002F5660">
        <w:t xml:space="preserve">In de </w:t>
      </w:r>
    </w:p>
    <w:p w14:paraId="1B4C98E4" w14:textId="3114D235" w:rsidR="00D95869" w:rsidRDefault="0000260A" w:rsidP="007653A4">
      <w:pPr>
        <w:pStyle w:val="Lijstnummering"/>
        <w:numPr>
          <w:ilvl w:val="0"/>
          <w:numId w:val="0"/>
        </w:numPr>
      </w:pPr>
      <w:r>
        <w:t>k</w:t>
      </w:r>
      <w:r w:rsidR="002F5660">
        <w:t>omende periode versterk</w:t>
      </w:r>
      <w:r>
        <w:t xml:space="preserve">t de gemeente </w:t>
      </w:r>
      <w:r w:rsidR="002F5660">
        <w:t xml:space="preserve">deze werkwijze bij alle prioriteiten en </w:t>
      </w:r>
      <w:r>
        <w:t>worden</w:t>
      </w:r>
      <w:r w:rsidR="003F2852">
        <w:t xml:space="preserve"> </w:t>
      </w:r>
      <w:r w:rsidR="003F2852" w:rsidRPr="002F5660">
        <w:rPr>
          <w:i/>
        </w:rPr>
        <w:t xml:space="preserve">best </w:t>
      </w:r>
      <w:proofErr w:type="spellStart"/>
      <w:r w:rsidR="003F2852" w:rsidRPr="002F5660">
        <w:rPr>
          <w:i/>
        </w:rPr>
        <w:t>practices</w:t>
      </w:r>
      <w:proofErr w:type="spellEnd"/>
      <w:r w:rsidR="003F2852">
        <w:t xml:space="preserve"> uit het land </w:t>
      </w:r>
      <w:r w:rsidR="002F5660">
        <w:t>toe</w:t>
      </w:r>
      <w:r>
        <w:t>gepast</w:t>
      </w:r>
      <w:r w:rsidR="002F5660">
        <w:t xml:space="preserve"> in Gouda.</w:t>
      </w:r>
    </w:p>
    <w:p w14:paraId="6492151A" w14:textId="77777777" w:rsidR="00D95869" w:rsidRDefault="00D95869" w:rsidP="007653A4">
      <w:pPr>
        <w:pStyle w:val="Lijstnummering"/>
        <w:numPr>
          <w:ilvl w:val="0"/>
          <w:numId w:val="0"/>
        </w:numPr>
      </w:pPr>
    </w:p>
    <w:p w14:paraId="53408213" w14:textId="77777777" w:rsidR="00AA37A1" w:rsidRPr="001F3037" w:rsidRDefault="00AA37A1" w:rsidP="007653A4">
      <w:pPr>
        <w:pStyle w:val="Lijstnummering"/>
        <w:numPr>
          <w:ilvl w:val="0"/>
          <w:numId w:val="0"/>
        </w:numPr>
        <w:rPr>
          <w:b/>
        </w:rPr>
      </w:pPr>
      <w:r w:rsidRPr="001F3037">
        <w:rPr>
          <w:b/>
        </w:rPr>
        <w:t>De burger heeft een eigen verantwoordelijkheid</w:t>
      </w:r>
    </w:p>
    <w:p w14:paraId="6CCB07DD" w14:textId="2EF9E136" w:rsidR="00616CE6" w:rsidRDefault="00616CE6" w:rsidP="007653A4">
      <w:pPr>
        <w:pStyle w:val="Lijstnummering"/>
        <w:numPr>
          <w:ilvl w:val="0"/>
          <w:numId w:val="0"/>
        </w:numPr>
      </w:pPr>
      <w:r>
        <w:t>De ve</w:t>
      </w:r>
      <w:r w:rsidR="00423259">
        <w:t>iligheid in Gouda is een gedeeld</w:t>
      </w:r>
      <w:r>
        <w:t>e verantwoordelijkheid.</w:t>
      </w:r>
      <w:r w:rsidR="00AA37A1">
        <w:t xml:space="preserve"> Alle partijen in de veiligheid</w:t>
      </w:r>
      <w:r>
        <w:t>s</w:t>
      </w:r>
      <w:r w:rsidR="00AA37A1">
        <w:t xml:space="preserve">keten hebben hun eigen expertise en verantwoordelijkheid. Zij </w:t>
      </w:r>
    </w:p>
    <w:p w14:paraId="43F997E1" w14:textId="1F00616F" w:rsidR="00616CE6" w:rsidRDefault="00616CE6" w:rsidP="007653A4">
      <w:pPr>
        <w:pStyle w:val="Lijstnummering"/>
        <w:numPr>
          <w:ilvl w:val="0"/>
          <w:numId w:val="0"/>
        </w:numPr>
      </w:pPr>
      <w:r>
        <w:t>krijgen</w:t>
      </w:r>
      <w:r w:rsidR="00AA37A1">
        <w:t xml:space="preserve"> de ruim</w:t>
      </w:r>
      <w:r w:rsidR="0000260A">
        <w:t>te en de juiste stimulans om deze</w:t>
      </w:r>
      <w:r w:rsidR="00AA37A1">
        <w:t xml:space="preserve"> in te zetten. </w:t>
      </w:r>
      <w:r>
        <w:t xml:space="preserve">Naast de professionele partners </w:t>
      </w:r>
      <w:r w:rsidR="00AA37A1">
        <w:t xml:space="preserve">betreft dit ook de </w:t>
      </w:r>
      <w:r w:rsidR="00581C43">
        <w:t xml:space="preserve">inwoners </w:t>
      </w:r>
      <w:r w:rsidR="00AA37A1">
        <w:t xml:space="preserve">van Gouda. De meeste </w:t>
      </w:r>
      <w:r w:rsidR="00581C43">
        <w:t xml:space="preserve">inwoners </w:t>
      </w:r>
      <w:r w:rsidR="00AA37A1">
        <w:t xml:space="preserve">en </w:t>
      </w:r>
    </w:p>
    <w:p w14:paraId="517984AE" w14:textId="77777777" w:rsidR="0000260A" w:rsidRDefault="00AA37A1" w:rsidP="007653A4">
      <w:pPr>
        <w:pStyle w:val="Lijstnummering"/>
        <w:numPr>
          <w:ilvl w:val="0"/>
          <w:numId w:val="0"/>
        </w:numPr>
      </w:pPr>
      <w:r>
        <w:t>ondernemers zijn uitstekend in staat binnen hun eigen netwerk problemen op te lossen.</w:t>
      </w:r>
      <w:r w:rsidRPr="00F8758A">
        <w:t xml:space="preserve"> </w:t>
      </w:r>
      <w:r>
        <w:t>Met name als het gaat om het nemen van voorzorgsmaatregelen</w:t>
      </w:r>
      <w:r w:rsidR="0000260A">
        <w:t xml:space="preserve"> </w:t>
      </w:r>
    </w:p>
    <w:p w14:paraId="6D7F1BE3" w14:textId="42089861" w:rsidR="0000260A" w:rsidRDefault="0000260A" w:rsidP="007653A4">
      <w:pPr>
        <w:pStyle w:val="Lijstnummering"/>
        <w:numPr>
          <w:ilvl w:val="0"/>
          <w:numId w:val="0"/>
        </w:numPr>
      </w:pPr>
      <w:r>
        <w:t>zoals</w:t>
      </w:r>
      <w:r w:rsidR="0087342D">
        <w:t xml:space="preserve"> </w:t>
      </w:r>
      <w:r w:rsidR="00AA37A1">
        <w:t>op het terrein van woninginbraken zijn burgers als eerst</w:t>
      </w:r>
      <w:r w:rsidR="00581C43">
        <w:t>e</w:t>
      </w:r>
      <w:r w:rsidR="00AA37A1">
        <w:t xml:space="preserve"> zelf aan zet. Met elkaar de ogen en oren van de buurt vormen, verdachte situaties </w:t>
      </w:r>
    </w:p>
    <w:p w14:paraId="699CA3BB" w14:textId="77777777" w:rsidR="0000260A" w:rsidRDefault="00AA37A1" w:rsidP="007653A4">
      <w:pPr>
        <w:pStyle w:val="Lijstnummering"/>
        <w:numPr>
          <w:ilvl w:val="0"/>
          <w:numId w:val="0"/>
        </w:numPr>
      </w:pPr>
      <w:r>
        <w:t xml:space="preserve">melden, het huis goed beveiligen en afsluiten en elkaar aanspreken; het draagt allemaal bij aan het versterken van de veiligheidssituatie en </w:t>
      </w:r>
    </w:p>
    <w:p w14:paraId="22D34509" w14:textId="269A4157" w:rsidR="00AA37A1" w:rsidRDefault="00AA37A1" w:rsidP="007653A4">
      <w:pPr>
        <w:pStyle w:val="Lijstnummering"/>
        <w:numPr>
          <w:ilvl w:val="0"/>
          <w:numId w:val="0"/>
        </w:numPr>
      </w:pPr>
      <w:r>
        <w:t>bewonersbetrokkenheid in de stad</w:t>
      </w:r>
      <w:r w:rsidR="0000260A">
        <w:t xml:space="preserve">, in de wijk </w:t>
      </w:r>
      <w:r>
        <w:t xml:space="preserve">en in de buurt. </w:t>
      </w:r>
    </w:p>
    <w:p w14:paraId="1E0C3EB7" w14:textId="77777777" w:rsidR="00AA37A1" w:rsidRDefault="00AA37A1" w:rsidP="007653A4">
      <w:pPr>
        <w:pStyle w:val="Lijstnummering"/>
        <w:numPr>
          <w:ilvl w:val="0"/>
          <w:numId w:val="0"/>
        </w:numPr>
      </w:pPr>
    </w:p>
    <w:p w14:paraId="38A0DD78" w14:textId="51D5EC61" w:rsidR="00CC05F9" w:rsidRPr="00CC05F9" w:rsidRDefault="00CC05F9" w:rsidP="007653A4">
      <w:pPr>
        <w:pStyle w:val="Lijstnummering"/>
        <w:numPr>
          <w:ilvl w:val="0"/>
          <w:numId w:val="0"/>
        </w:numPr>
        <w:rPr>
          <w:b/>
        </w:rPr>
      </w:pPr>
      <w:r w:rsidRPr="00CC05F9">
        <w:rPr>
          <w:b/>
        </w:rPr>
        <w:t>Bewonersparticipatie</w:t>
      </w:r>
    </w:p>
    <w:p w14:paraId="5CFE46FB" w14:textId="77777777" w:rsidR="00CC05F9" w:rsidRDefault="00CC05F9" w:rsidP="007653A4">
      <w:pPr>
        <w:pStyle w:val="Lijstnummering"/>
        <w:numPr>
          <w:ilvl w:val="0"/>
          <w:numId w:val="0"/>
        </w:numPr>
      </w:pPr>
      <w:r>
        <w:t>Bewoners en ondernemers worden actief betrokken bij het veiligheidsbeleid. Bijvoorbeeld d</w:t>
      </w:r>
      <w:r w:rsidRPr="00CC05F9">
        <w:t xml:space="preserve">oor de inzet van Buurt Bestuurt, spreken bewoners in specifieke </w:t>
      </w:r>
    </w:p>
    <w:p w14:paraId="792BA748" w14:textId="77777777" w:rsidR="00CC05F9" w:rsidRDefault="00CC05F9" w:rsidP="007653A4">
      <w:pPr>
        <w:pStyle w:val="Lijstnummering"/>
        <w:numPr>
          <w:ilvl w:val="0"/>
          <w:numId w:val="0"/>
        </w:numPr>
      </w:pPr>
      <w:r w:rsidRPr="00CC05F9">
        <w:t xml:space="preserve">buurten direct met de betrokken partners over de aanpak van lokale problemen en nemen bewoners daar ook zelf hun verantwoordelijkheid in. Met de (nog in </w:t>
      </w:r>
    </w:p>
    <w:p w14:paraId="135853B0" w14:textId="77777777" w:rsidR="00693084" w:rsidRDefault="00CC05F9" w:rsidP="007653A4">
      <w:pPr>
        <w:pStyle w:val="Lijstnummering"/>
        <w:numPr>
          <w:ilvl w:val="0"/>
          <w:numId w:val="0"/>
        </w:numPr>
      </w:pPr>
      <w:r w:rsidRPr="00CC05F9">
        <w:t>te stellen) jaarlijkse veiligheidsprijs wordt eigen initiatief van bewoners op het gebied van veiligheid beloond.</w:t>
      </w:r>
      <w:r>
        <w:t xml:space="preserve"> </w:t>
      </w:r>
      <w:r w:rsidR="00693084">
        <w:t xml:space="preserve">De wijkagent en de gebiedsregisseur zijn </w:t>
      </w:r>
    </w:p>
    <w:p w14:paraId="7169D87E" w14:textId="3435C184" w:rsidR="00FE3FFA" w:rsidRPr="00693084" w:rsidRDefault="00693084" w:rsidP="007653A4">
      <w:pPr>
        <w:pStyle w:val="Lijstnummering"/>
        <w:numPr>
          <w:ilvl w:val="0"/>
          <w:numId w:val="0"/>
        </w:numPr>
      </w:pPr>
      <w:r>
        <w:t>aanspreekpunten voor bewoners.</w:t>
      </w:r>
    </w:p>
    <w:p w14:paraId="04A35ABB" w14:textId="77777777" w:rsidR="00FE3FFA" w:rsidRDefault="00FE3FFA" w:rsidP="007653A4">
      <w:pPr>
        <w:pStyle w:val="Lijstnummering"/>
        <w:numPr>
          <w:ilvl w:val="0"/>
          <w:numId w:val="0"/>
        </w:numPr>
        <w:rPr>
          <w:b/>
        </w:rPr>
      </w:pPr>
    </w:p>
    <w:p w14:paraId="56CEC127" w14:textId="77777777" w:rsidR="00E14CA7" w:rsidRPr="001F3037" w:rsidRDefault="001F3037" w:rsidP="007653A4">
      <w:pPr>
        <w:pStyle w:val="Lijstnummering"/>
        <w:numPr>
          <w:ilvl w:val="0"/>
          <w:numId w:val="0"/>
        </w:numPr>
        <w:rPr>
          <w:b/>
        </w:rPr>
      </w:pPr>
      <w:r w:rsidRPr="001F3037">
        <w:rPr>
          <w:b/>
        </w:rPr>
        <w:t>Integrale samenwerking</w:t>
      </w:r>
    </w:p>
    <w:p w14:paraId="54D4EABB" w14:textId="64B88E0D" w:rsidR="00616CE6" w:rsidRDefault="00616CE6" w:rsidP="007653A4">
      <w:pPr>
        <w:pStyle w:val="Lijstnummering"/>
        <w:numPr>
          <w:ilvl w:val="0"/>
          <w:numId w:val="0"/>
        </w:numPr>
      </w:pPr>
      <w:r>
        <w:t>De nadruk lag in de afgelopen periode al op een mix van preventie en repressie, maar zal in de komende periode nog nadrukkelijker komen te liggen op de samenwerking met de zorgpartners. Zowel in de praktijk, beleidsmatig</w:t>
      </w:r>
      <w:r w:rsidR="00581C43">
        <w:t>,</w:t>
      </w:r>
      <w:r>
        <w:t xml:space="preserve"> als bestuurlijk </w:t>
      </w:r>
      <w:r w:rsidR="00A75E39">
        <w:t>wordt</w:t>
      </w:r>
      <w:r>
        <w:t xml:space="preserve"> de </w:t>
      </w:r>
      <w:r w:rsidR="000C09A4">
        <w:t xml:space="preserve">afstemming gezocht </w:t>
      </w:r>
      <w:r w:rsidR="00581C43">
        <w:t>tussen zorg en veiligheid</w:t>
      </w:r>
      <w:r w:rsidR="000C09A4">
        <w:t xml:space="preserve"> en </w:t>
      </w:r>
      <w:r w:rsidR="00A75E39">
        <w:t xml:space="preserve">kijken </w:t>
      </w:r>
      <w:r w:rsidR="00154F7E">
        <w:t>alle partijen</w:t>
      </w:r>
      <w:r w:rsidR="000C09A4">
        <w:t xml:space="preserve"> over de grenzen van he</w:t>
      </w:r>
      <w:r w:rsidR="00A75E39">
        <w:t>t veiligheidsdomein heen</w:t>
      </w:r>
      <w:r w:rsidR="000C09A4">
        <w:t xml:space="preserve">. </w:t>
      </w:r>
    </w:p>
    <w:p w14:paraId="073DE18D" w14:textId="40586390" w:rsidR="000C09A4" w:rsidRDefault="000C09A4" w:rsidP="007653A4">
      <w:pPr>
        <w:pStyle w:val="Lijstnummering"/>
        <w:numPr>
          <w:ilvl w:val="0"/>
          <w:numId w:val="0"/>
        </w:numPr>
      </w:pPr>
      <w:r>
        <w:t xml:space="preserve">Naast het zorgdomein raakt veiligheid ook aan de inrichting en het onderhoud van de openbare ruimte, aan verkeersveiligheid, het afvalbeleid, het </w:t>
      </w:r>
      <w:r w:rsidR="003F2852">
        <w:t xml:space="preserve">onderwijs, het </w:t>
      </w:r>
      <w:r>
        <w:t>economisch klimaat</w:t>
      </w:r>
      <w:r w:rsidR="00581C43">
        <w:t>, toeleiding naar arbeid</w:t>
      </w:r>
      <w:r>
        <w:t xml:space="preserve"> en diverse andere terreinen. </w:t>
      </w:r>
      <w:r w:rsidR="001F3037">
        <w:t xml:space="preserve">Het tegengaan van onveiligheid is daarom </w:t>
      </w:r>
      <w:r w:rsidR="0000260A">
        <w:t xml:space="preserve">bij uitstek </w:t>
      </w:r>
      <w:r w:rsidR="001F3037">
        <w:t>een integrale opgave.</w:t>
      </w:r>
    </w:p>
    <w:p w14:paraId="6C029AFD" w14:textId="77777777" w:rsidR="000C09A4" w:rsidRDefault="000C09A4" w:rsidP="007653A4">
      <w:pPr>
        <w:pStyle w:val="Lijstnummering"/>
        <w:numPr>
          <w:ilvl w:val="0"/>
          <w:numId w:val="0"/>
        </w:numPr>
      </w:pPr>
    </w:p>
    <w:p w14:paraId="3B00C1AA" w14:textId="77777777" w:rsidR="00085801" w:rsidRPr="001F3037" w:rsidRDefault="00085801" w:rsidP="007653A4">
      <w:pPr>
        <w:pStyle w:val="Lijstnummering"/>
        <w:numPr>
          <w:ilvl w:val="0"/>
          <w:numId w:val="0"/>
        </w:numPr>
        <w:rPr>
          <w:b/>
        </w:rPr>
      </w:pPr>
      <w:r w:rsidRPr="001F3037">
        <w:rPr>
          <w:b/>
        </w:rPr>
        <w:t>Communicatie</w:t>
      </w:r>
    </w:p>
    <w:p w14:paraId="27126403" w14:textId="19F06D52" w:rsidR="001F3037" w:rsidRDefault="001F3037" w:rsidP="007653A4">
      <w:pPr>
        <w:pStyle w:val="Default"/>
        <w:rPr>
          <w:color w:val="auto"/>
          <w:sz w:val="20"/>
          <w:szCs w:val="20"/>
        </w:rPr>
      </w:pPr>
      <w:r>
        <w:rPr>
          <w:color w:val="auto"/>
          <w:sz w:val="20"/>
          <w:szCs w:val="20"/>
        </w:rPr>
        <w:t xml:space="preserve">Voorlichten en informeren </w:t>
      </w:r>
      <w:r w:rsidR="00581C43">
        <w:rPr>
          <w:color w:val="auto"/>
          <w:sz w:val="20"/>
          <w:szCs w:val="20"/>
        </w:rPr>
        <w:t>over</w:t>
      </w:r>
      <w:r w:rsidR="0000260A">
        <w:rPr>
          <w:color w:val="auto"/>
          <w:sz w:val="20"/>
          <w:szCs w:val="20"/>
        </w:rPr>
        <w:t xml:space="preserve"> leefbaarheid en</w:t>
      </w:r>
      <w:r w:rsidR="00581C43">
        <w:rPr>
          <w:color w:val="auto"/>
          <w:sz w:val="20"/>
          <w:szCs w:val="20"/>
        </w:rPr>
        <w:t xml:space="preserve"> veiligheid is </w:t>
      </w:r>
      <w:r>
        <w:rPr>
          <w:color w:val="auto"/>
          <w:sz w:val="20"/>
          <w:szCs w:val="20"/>
        </w:rPr>
        <w:t xml:space="preserve">een taak van de gemeente. </w:t>
      </w:r>
      <w:r w:rsidR="00581C43">
        <w:rPr>
          <w:color w:val="auto"/>
          <w:sz w:val="20"/>
          <w:szCs w:val="20"/>
        </w:rPr>
        <w:t>De v</w:t>
      </w:r>
      <w:r>
        <w:rPr>
          <w:color w:val="auto"/>
          <w:sz w:val="20"/>
          <w:szCs w:val="20"/>
        </w:rPr>
        <w:t>eiligheidsbeleving loopt soms niet parallel met de daadwerkelijk</w:t>
      </w:r>
      <w:r w:rsidR="00581C43">
        <w:rPr>
          <w:color w:val="auto"/>
          <w:sz w:val="20"/>
          <w:szCs w:val="20"/>
        </w:rPr>
        <w:t>e</w:t>
      </w:r>
      <w:r>
        <w:rPr>
          <w:color w:val="auto"/>
          <w:sz w:val="20"/>
          <w:szCs w:val="20"/>
        </w:rPr>
        <w:t xml:space="preserve"> gebeurtenissen en ontwikkelingen. Het college wil transparant zijn over de veiligheidssituatie in de stad.</w:t>
      </w:r>
      <w:r w:rsidR="00A75E39">
        <w:rPr>
          <w:color w:val="auto"/>
          <w:sz w:val="20"/>
          <w:szCs w:val="20"/>
        </w:rPr>
        <w:t xml:space="preserve"> Onder andere via </w:t>
      </w:r>
      <w:proofErr w:type="spellStart"/>
      <w:r w:rsidR="00A75E39">
        <w:rPr>
          <w:color w:val="auto"/>
          <w:sz w:val="20"/>
          <w:szCs w:val="20"/>
        </w:rPr>
        <w:t>social</w:t>
      </w:r>
      <w:proofErr w:type="spellEnd"/>
      <w:r w:rsidR="00A75E39">
        <w:rPr>
          <w:color w:val="auto"/>
          <w:sz w:val="20"/>
          <w:szCs w:val="20"/>
        </w:rPr>
        <w:t xml:space="preserve"> media la</w:t>
      </w:r>
      <w:r w:rsidR="00154F7E">
        <w:rPr>
          <w:color w:val="auto"/>
          <w:sz w:val="20"/>
          <w:szCs w:val="20"/>
        </w:rPr>
        <w:t>a</w:t>
      </w:r>
      <w:r w:rsidR="00A75E39">
        <w:rPr>
          <w:color w:val="auto"/>
          <w:sz w:val="20"/>
          <w:szCs w:val="20"/>
        </w:rPr>
        <w:t xml:space="preserve">t </w:t>
      </w:r>
      <w:r w:rsidR="00154F7E">
        <w:rPr>
          <w:color w:val="auto"/>
          <w:sz w:val="20"/>
          <w:szCs w:val="20"/>
        </w:rPr>
        <w:t>de gemeente</w:t>
      </w:r>
      <w:r w:rsidR="00A75E39">
        <w:rPr>
          <w:color w:val="auto"/>
          <w:sz w:val="20"/>
          <w:szCs w:val="20"/>
        </w:rPr>
        <w:t xml:space="preserve"> meer zien en horen</w:t>
      </w:r>
      <w:r>
        <w:rPr>
          <w:color w:val="auto"/>
          <w:sz w:val="20"/>
          <w:szCs w:val="20"/>
        </w:rPr>
        <w:t xml:space="preserve"> over wat er speelt en gebeurt.</w:t>
      </w:r>
    </w:p>
    <w:p w14:paraId="079384FC" w14:textId="77777777" w:rsidR="001F3037" w:rsidRDefault="001F3037" w:rsidP="007653A4">
      <w:pPr>
        <w:pStyle w:val="Lijstnummering"/>
        <w:numPr>
          <w:ilvl w:val="0"/>
          <w:numId w:val="0"/>
        </w:numPr>
        <w:ind w:left="360"/>
      </w:pPr>
    </w:p>
    <w:p w14:paraId="41616C5F" w14:textId="69CC4DCE" w:rsidR="001F3037" w:rsidRDefault="001F3037" w:rsidP="007653A4">
      <w:pPr>
        <w:pStyle w:val="Lijstnummering"/>
        <w:numPr>
          <w:ilvl w:val="0"/>
          <w:numId w:val="0"/>
        </w:numPr>
      </w:pPr>
    </w:p>
    <w:p w14:paraId="51875486" w14:textId="77777777" w:rsidR="001F3037" w:rsidRPr="00BF2E91" w:rsidRDefault="00D128AB" w:rsidP="007653A4">
      <w:pPr>
        <w:pStyle w:val="Lijstnummering"/>
        <w:numPr>
          <w:ilvl w:val="0"/>
          <w:numId w:val="0"/>
        </w:numPr>
        <w:rPr>
          <w:b/>
        </w:rPr>
      </w:pPr>
      <w:r w:rsidRPr="00BF2E91">
        <w:rPr>
          <w:b/>
        </w:rPr>
        <w:t>Landelijk en regionaal veiligheidsbeleid</w:t>
      </w:r>
    </w:p>
    <w:p w14:paraId="4FC2749E" w14:textId="77777777" w:rsidR="003F2852" w:rsidRDefault="003F2852" w:rsidP="007653A4">
      <w:pPr>
        <w:pStyle w:val="Lijstnummering"/>
        <w:numPr>
          <w:ilvl w:val="0"/>
          <w:numId w:val="0"/>
        </w:numPr>
      </w:pPr>
    </w:p>
    <w:p w14:paraId="7200A65D" w14:textId="77777777" w:rsidR="00D128AB" w:rsidRDefault="00D128AB" w:rsidP="007653A4">
      <w:pPr>
        <w:pStyle w:val="Lijstnummering"/>
        <w:numPr>
          <w:ilvl w:val="0"/>
          <w:numId w:val="0"/>
        </w:numPr>
        <w:rPr>
          <w:rFonts w:cs="Arial"/>
        </w:rPr>
      </w:pPr>
      <w:r>
        <w:rPr>
          <w:rFonts w:cs="Arial"/>
        </w:rPr>
        <w:t>Prioriteiten uit h</w:t>
      </w:r>
      <w:r w:rsidRPr="00D128AB">
        <w:rPr>
          <w:rFonts w:cs="Arial"/>
        </w:rPr>
        <w:t xml:space="preserve">et </w:t>
      </w:r>
      <w:r w:rsidR="00D95869" w:rsidRPr="00D128AB">
        <w:rPr>
          <w:rFonts w:cs="Arial"/>
        </w:rPr>
        <w:t>Regionaal beleidsplan</w:t>
      </w:r>
      <w:r>
        <w:rPr>
          <w:rFonts w:cs="Arial"/>
        </w:rPr>
        <w:t xml:space="preserve"> 2019-2022 van de </w:t>
      </w:r>
    </w:p>
    <w:p w14:paraId="1DFB3D3E" w14:textId="77777777" w:rsidR="00D95869" w:rsidRPr="00D128AB" w:rsidRDefault="00D128AB" w:rsidP="007653A4">
      <w:pPr>
        <w:pStyle w:val="Lijstnummering"/>
        <w:numPr>
          <w:ilvl w:val="0"/>
          <w:numId w:val="0"/>
        </w:numPr>
        <w:rPr>
          <w:rFonts w:cs="Arial"/>
        </w:rPr>
      </w:pPr>
      <w:r>
        <w:rPr>
          <w:rFonts w:cs="Arial"/>
        </w:rPr>
        <w:t xml:space="preserve">Eenheid Den </w:t>
      </w:r>
      <w:r w:rsidRPr="00D128AB">
        <w:rPr>
          <w:rFonts w:cs="Arial"/>
        </w:rPr>
        <w:t>Haag</w:t>
      </w:r>
      <w:r>
        <w:rPr>
          <w:rFonts w:cs="Arial"/>
        </w:rPr>
        <w:t>:</w:t>
      </w:r>
    </w:p>
    <w:p w14:paraId="4A6925F3" w14:textId="1337684E"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Aanpak van (</w:t>
      </w:r>
      <w:r w:rsidR="00A75E39">
        <w:rPr>
          <w:rFonts w:cs="Arial"/>
          <w:color w:val="000000"/>
          <w:lang w:eastAsia="en-US"/>
        </w:rPr>
        <w:t>c</w:t>
      </w:r>
      <w:r w:rsidRPr="00D128AB">
        <w:rPr>
          <w:rFonts w:cs="Arial"/>
          <w:color w:val="000000"/>
          <w:lang w:eastAsia="en-US"/>
        </w:rPr>
        <w:t xml:space="preserve">ontra)-terrorisme, extremisme en radicalisering (CTER) </w:t>
      </w:r>
    </w:p>
    <w:p w14:paraId="3EE1BE7C" w14:textId="27FFBC5E"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 xml:space="preserve">Aanpak van </w:t>
      </w:r>
      <w:r w:rsidR="00A75E39">
        <w:rPr>
          <w:rFonts w:cs="Arial"/>
          <w:color w:val="000000"/>
          <w:lang w:eastAsia="en-US"/>
        </w:rPr>
        <w:t>c</w:t>
      </w:r>
      <w:r w:rsidRPr="00D128AB">
        <w:rPr>
          <w:rFonts w:cs="Arial"/>
          <w:color w:val="000000"/>
          <w:lang w:eastAsia="en-US"/>
        </w:rPr>
        <w:t xml:space="preserve">ybercrime/gedigitaliseerde criminaliteit </w:t>
      </w:r>
    </w:p>
    <w:p w14:paraId="75556167" w14:textId="77777777"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 xml:space="preserve">Aanpak van (huiselijk) Geweld </w:t>
      </w:r>
    </w:p>
    <w:p w14:paraId="67869BC2" w14:textId="67D94675"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 xml:space="preserve">Aanpak van </w:t>
      </w:r>
      <w:r w:rsidR="00A75E39">
        <w:rPr>
          <w:rFonts w:cs="Arial"/>
          <w:color w:val="000000"/>
          <w:lang w:eastAsia="en-US"/>
        </w:rPr>
        <w:t>h</w:t>
      </w:r>
      <w:r w:rsidRPr="00D128AB">
        <w:rPr>
          <w:rFonts w:cs="Arial"/>
          <w:color w:val="000000"/>
          <w:lang w:eastAsia="en-US"/>
        </w:rPr>
        <w:t xml:space="preserve">igh Impact Crimes </w:t>
      </w:r>
    </w:p>
    <w:p w14:paraId="32125EAF" w14:textId="77777777"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 xml:space="preserve">Aanpak van overlast en criminaliteit door problematische Jeugdgroepen/netwerken </w:t>
      </w:r>
    </w:p>
    <w:p w14:paraId="05C7270F" w14:textId="282001AA" w:rsidR="00D128AB" w:rsidRPr="00D128AB" w:rsidRDefault="00D128AB" w:rsidP="007653A4">
      <w:pPr>
        <w:pStyle w:val="Lijstalinea"/>
        <w:numPr>
          <w:ilvl w:val="0"/>
          <w:numId w:val="32"/>
        </w:numPr>
        <w:autoSpaceDE w:val="0"/>
        <w:autoSpaceDN w:val="0"/>
        <w:adjustRightInd w:val="0"/>
        <w:ind w:left="360" w:firstLine="0"/>
        <w:rPr>
          <w:rFonts w:cs="Arial"/>
          <w:color w:val="000000"/>
          <w:lang w:eastAsia="en-US"/>
        </w:rPr>
      </w:pPr>
      <w:r w:rsidRPr="00D128AB">
        <w:rPr>
          <w:rFonts w:cs="Arial"/>
          <w:color w:val="000000"/>
          <w:lang w:eastAsia="en-US"/>
        </w:rPr>
        <w:t xml:space="preserve">Aanpak van </w:t>
      </w:r>
      <w:r w:rsidR="00A75E39">
        <w:rPr>
          <w:rFonts w:cs="Arial"/>
          <w:color w:val="000000"/>
          <w:lang w:eastAsia="en-US"/>
        </w:rPr>
        <w:t>o</w:t>
      </w:r>
      <w:r w:rsidRPr="00D128AB">
        <w:rPr>
          <w:rFonts w:cs="Arial"/>
          <w:color w:val="000000"/>
          <w:lang w:eastAsia="en-US"/>
        </w:rPr>
        <w:t xml:space="preserve">ndermijning </w:t>
      </w:r>
    </w:p>
    <w:p w14:paraId="443228DD" w14:textId="0446488D" w:rsidR="00D128AB" w:rsidRDefault="00D128AB" w:rsidP="007653A4">
      <w:pPr>
        <w:pStyle w:val="Lijstnummering"/>
        <w:numPr>
          <w:ilvl w:val="0"/>
          <w:numId w:val="32"/>
        </w:numPr>
        <w:ind w:left="360" w:firstLine="0"/>
        <w:rPr>
          <w:rFonts w:cs="Arial"/>
          <w:color w:val="000000"/>
          <w:lang w:eastAsia="en-US"/>
        </w:rPr>
      </w:pPr>
      <w:r w:rsidRPr="00D128AB">
        <w:rPr>
          <w:rFonts w:cs="Arial"/>
          <w:color w:val="000000"/>
          <w:lang w:eastAsia="en-US"/>
        </w:rPr>
        <w:t xml:space="preserve">Aanpak van overlast en/of criminaliteit door personen met </w:t>
      </w:r>
      <w:r w:rsidR="00A75E39">
        <w:rPr>
          <w:rFonts w:cs="Arial"/>
          <w:color w:val="000000"/>
          <w:lang w:eastAsia="en-US"/>
        </w:rPr>
        <w:t>v</w:t>
      </w:r>
      <w:r w:rsidRPr="00D128AB">
        <w:rPr>
          <w:rFonts w:cs="Arial"/>
          <w:color w:val="000000"/>
          <w:lang w:eastAsia="en-US"/>
        </w:rPr>
        <w:t>erward gedrag</w:t>
      </w:r>
    </w:p>
    <w:p w14:paraId="53568BE3" w14:textId="77777777" w:rsidR="00D128AB" w:rsidRPr="00D128AB" w:rsidRDefault="00D128AB" w:rsidP="007653A4">
      <w:pPr>
        <w:pStyle w:val="Lijstnummering"/>
        <w:numPr>
          <w:ilvl w:val="0"/>
          <w:numId w:val="0"/>
        </w:numPr>
        <w:ind w:left="360"/>
        <w:rPr>
          <w:rFonts w:cs="Arial"/>
          <w:color w:val="000000"/>
          <w:lang w:eastAsia="en-US"/>
        </w:rPr>
      </w:pPr>
    </w:p>
    <w:p w14:paraId="3A4168FE" w14:textId="1D8999E4" w:rsidR="00D95869" w:rsidRDefault="00D128AB" w:rsidP="007653A4">
      <w:pPr>
        <w:pStyle w:val="Lijstnummering"/>
        <w:numPr>
          <w:ilvl w:val="0"/>
          <w:numId w:val="0"/>
        </w:numPr>
      </w:pPr>
      <w:r>
        <w:t>De landelijke V</w:t>
      </w:r>
      <w:r w:rsidR="00D95869">
        <w:t>eiligheidsagenda</w:t>
      </w:r>
      <w:r w:rsidR="00FE3FFA">
        <w:t xml:space="preserve"> 2014-2018 van het M</w:t>
      </w:r>
      <w:r w:rsidR="00A75E39">
        <w:t>inisterie van J</w:t>
      </w:r>
      <w:r w:rsidR="001A19BB">
        <w:t>ustitie en Veiligheid:</w:t>
      </w:r>
    </w:p>
    <w:p w14:paraId="7A65B6D4" w14:textId="77777777" w:rsidR="00D128AB" w:rsidRDefault="00D128AB" w:rsidP="007653A4">
      <w:pPr>
        <w:pStyle w:val="Lijstnummering"/>
        <w:numPr>
          <w:ilvl w:val="0"/>
          <w:numId w:val="33"/>
        </w:numPr>
        <w:ind w:left="360" w:firstLine="0"/>
      </w:pPr>
      <w:r>
        <w:t>Aanpak ondermijnende criminaliteit</w:t>
      </w:r>
    </w:p>
    <w:p w14:paraId="2B23EC10" w14:textId="77777777" w:rsidR="00D128AB" w:rsidRDefault="00D128AB" w:rsidP="007653A4">
      <w:pPr>
        <w:pStyle w:val="Lijstnummering"/>
        <w:numPr>
          <w:ilvl w:val="0"/>
          <w:numId w:val="33"/>
        </w:numPr>
        <w:ind w:left="360" w:firstLine="0"/>
      </w:pPr>
      <w:r>
        <w:t>Bestrijding cybercrime</w:t>
      </w:r>
    </w:p>
    <w:p w14:paraId="1C23DDD5" w14:textId="77777777" w:rsidR="00D128AB" w:rsidRDefault="00D128AB" w:rsidP="007653A4">
      <w:pPr>
        <w:pStyle w:val="Lijstnummering"/>
        <w:numPr>
          <w:ilvl w:val="0"/>
          <w:numId w:val="33"/>
        </w:numPr>
        <w:ind w:left="360" w:firstLine="0"/>
      </w:pPr>
      <w:r>
        <w:t>Aanpak horizontale fraude</w:t>
      </w:r>
    </w:p>
    <w:p w14:paraId="2701FAD0" w14:textId="77777777" w:rsidR="00D128AB" w:rsidRDefault="00D128AB" w:rsidP="007653A4">
      <w:pPr>
        <w:pStyle w:val="Lijstnummering"/>
        <w:numPr>
          <w:ilvl w:val="0"/>
          <w:numId w:val="33"/>
        </w:numPr>
        <w:ind w:left="360" w:firstLine="0"/>
      </w:pPr>
      <w:r>
        <w:t>Bestrijding kinderporno</w:t>
      </w:r>
    </w:p>
    <w:p w14:paraId="11FFCD84" w14:textId="77777777" w:rsidR="00D128AB" w:rsidRDefault="00D128AB" w:rsidP="007653A4">
      <w:pPr>
        <w:pStyle w:val="Lijstnummering"/>
        <w:numPr>
          <w:ilvl w:val="0"/>
          <w:numId w:val="33"/>
        </w:numPr>
        <w:ind w:left="360" w:firstLine="0"/>
      </w:pPr>
      <w:r>
        <w:t>Bestrijding HIC (waaronder jeugdcriminaliteit)</w:t>
      </w:r>
    </w:p>
    <w:p w14:paraId="1D7BED2A" w14:textId="77777777" w:rsidR="00D128AB" w:rsidRDefault="00D128AB" w:rsidP="007653A4">
      <w:pPr>
        <w:pStyle w:val="Lijstnummering"/>
        <w:numPr>
          <w:ilvl w:val="0"/>
          <w:numId w:val="33"/>
        </w:numPr>
        <w:ind w:left="360" w:firstLine="0"/>
      </w:pPr>
      <w:r>
        <w:t>Afpakken</w:t>
      </w:r>
      <w:r w:rsidR="00BF2E91">
        <w:t xml:space="preserve"> van illegaal verworven vermogen</w:t>
      </w:r>
    </w:p>
    <w:p w14:paraId="36461E2E" w14:textId="77777777" w:rsidR="00D128AB" w:rsidRDefault="00D128AB" w:rsidP="007653A4">
      <w:pPr>
        <w:pStyle w:val="Lijstnummering"/>
        <w:numPr>
          <w:ilvl w:val="0"/>
          <w:numId w:val="0"/>
        </w:numPr>
      </w:pPr>
    </w:p>
    <w:p w14:paraId="3B008DD9" w14:textId="77777777" w:rsidR="00D128AB" w:rsidRDefault="00D128AB" w:rsidP="007653A4">
      <w:pPr>
        <w:pStyle w:val="Lijstnummering"/>
        <w:numPr>
          <w:ilvl w:val="0"/>
          <w:numId w:val="0"/>
        </w:numPr>
        <w:ind w:left="720"/>
      </w:pPr>
    </w:p>
    <w:p w14:paraId="2EEBC534" w14:textId="77777777" w:rsidR="001B44FC" w:rsidRDefault="001B44FC" w:rsidP="007653A4">
      <w:pPr>
        <w:pStyle w:val="Lijstnummering"/>
        <w:numPr>
          <w:ilvl w:val="0"/>
          <w:numId w:val="0"/>
        </w:numPr>
        <w:ind w:left="720"/>
      </w:pPr>
    </w:p>
    <w:p w14:paraId="25F9326F" w14:textId="77777777" w:rsidR="001B44FC" w:rsidRDefault="001B44FC" w:rsidP="007653A4">
      <w:pPr>
        <w:pStyle w:val="Lijstnummering"/>
        <w:numPr>
          <w:ilvl w:val="0"/>
          <w:numId w:val="0"/>
        </w:numPr>
        <w:ind w:left="720"/>
      </w:pPr>
    </w:p>
    <w:p w14:paraId="64109E4B" w14:textId="77777777" w:rsidR="001B44FC" w:rsidRDefault="001B44FC" w:rsidP="007653A4">
      <w:pPr>
        <w:pStyle w:val="Lijstnummering"/>
        <w:numPr>
          <w:ilvl w:val="0"/>
          <w:numId w:val="0"/>
        </w:numPr>
        <w:ind w:left="720"/>
      </w:pPr>
    </w:p>
    <w:p w14:paraId="6C959882" w14:textId="77777777" w:rsidR="001B44FC" w:rsidRDefault="001B44FC" w:rsidP="007653A4">
      <w:pPr>
        <w:pStyle w:val="Lijstnummering"/>
        <w:numPr>
          <w:ilvl w:val="0"/>
          <w:numId w:val="0"/>
        </w:numPr>
        <w:ind w:left="720"/>
      </w:pPr>
    </w:p>
    <w:p w14:paraId="42089755" w14:textId="77777777" w:rsidR="001B44FC" w:rsidRDefault="001B44FC" w:rsidP="007653A4">
      <w:pPr>
        <w:pStyle w:val="Lijstnummering"/>
        <w:numPr>
          <w:ilvl w:val="0"/>
          <w:numId w:val="0"/>
        </w:numPr>
        <w:ind w:left="720"/>
      </w:pPr>
    </w:p>
    <w:p w14:paraId="5EA26521" w14:textId="77777777" w:rsidR="001B44FC" w:rsidRDefault="001B44FC" w:rsidP="007653A4">
      <w:pPr>
        <w:pStyle w:val="Lijstnummering"/>
        <w:numPr>
          <w:ilvl w:val="0"/>
          <w:numId w:val="0"/>
        </w:numPr>
        <w:ind w:left="720"/>
      </w:pPr>
    </w:p>
    <w:p w14:paraId="170E873F" w14:textId="77777777" w:rsidR="001B44FC" w:rsidRDefault="001B44FC" w:rsidP="007653A4">
      <w:pPr>
        <w:pStyle w:val="Lijstnummering"/>
        <w:numPr>
          <w:ilvl w:val="0"/>
          <w:numId w:val="0"/>
        </w:numPr>
        <w:ind w:left="720"/>
      </w:pPr>
    </w:p>
    <w:p w14:paraId="236730B7" w14:textId="77777777" w:rsidR="001B44FC" w:rsidRDefault="001B44FC" w:rsidP="007653A4">
      <w:pPr>
        <w:pStyle w:val="Lijstnummering"/>
        <w:numPr>
          <w:ilvl w:val="0"/>
          <w:numId w:val="0"/>
        </w:numPr>
        <w:ind w:left="720"/>
      </w:pPr>
    </w:p>
    <w:p w14:paraId="48C49221" w14:textId="77777777" w:rsidR="001B44FC" w:rsidRDefault="001B44FC" w:rsidP="007653A4">
      <w:pPr>
        <w:pStyle w:val="Lijstnummering"/>
        <w:numPr>
          <w:ilvl w:val="0"/>
          <w:numId w:val="0"/>
        </w:numPr>
        <w:ind w:left="720"/>
      </w:pPr>
    </w:p>
    <w:p w14:paraId="3826D7ED" w14:textId="77777777" w:rsidR="001B44FC" w:rsidRDefault="001B44FC" w:rsidP="007653A4">
      <w:pPr>
        <w:pStyle w:val="Lijstnummering"/>
        <w:numPr>
          <w:ilvl w:val="0"/>
          <w:numId w:val="0"/>
        </w:numPr>
        <w:ind w:left="720"/>
      </w:pPr>
    </w:p>
    <w:p w14:paraId="45367411" w14:textId="77777777" w:rsidR="001B44FC" w:rsidRDefault="001B44FC" w:rsidP="007653A4">
      <w:pPr>
        <w:pStyle w:val="Lijstnummering"/>
        <w:numPr>
          <w:ilvl w:val="0"/>
          <w:numId w:val="0"/>
        </w:numPr>
        <w:ind w:left="720"/>
      </w:pPr>
    </w:p>
    <w:p w14:paraId="23AD83B6" w14:textId="72A8282A" w:rsidR="00956561" w:rsidRDefault="00956561" w:rsidP="007653A4">
      <w:pPr>
        <w:pStyle w:val="Itemsnrsniveau1"/>
        <w:ind w:left="65" w:firstLine="0"/>
      </w:pPr>
      <w:bookmarkStart w:id="9" w:name="_Toc531857280"/>
      <w:r>
        <w:t>Uitkomst evaluatie</w:t>
      </w:r>
      <w:bookmarkEnd w:id="9"/>
    </w:p>
    <w:p w14:paraId="52A2ACEA" w14:textId="77777777" w:rsidR="00174CA0" w:rsidRDefault="00174CA0" w:rsidP="007653A4">
      <w:pPr>
        <w:pStyle w:val="Standaardingesprongen"/>
        <w:ind w:left="0"/>
        <w:rPr>
          <w:lang w:eastAsia="en-US"/>
        </w:rPr>
      </w:pPr>
    </w:p>
    <w:p w14:paraId="45D07801" w14:textId="77777777" w:rsidR="00956561" w:rsidRDefault="00956561" w:rsidP="007653A4">
      <w:pPr>
        <w:pStyle w:val="Lijstnummering"/>
        <w:numPr>
          <w:ilvl w:val="0"/>
          <w:numId w:val="0"/>
        </w:numPr>
      </w:pPr>
    </w:p>
    <w:p w14:paraId="6998A6E3" w14:textId="77777777" w:rsidR="009010BD" w:rsidRDefault="00C6359B" w:rsidP="007653A4">
      <w:pPr>
        <w:pStyle w:val="Lijstnummering"/>
        <w:numPr>
          <w:ilvl w:val="0"/>
          <w:numId w:val="0"/>
        </w:numPr>
      </w:pPr>
      <w:r>
        <w:t xml:space="preserve">Onderzoeks-en adviesbureau DSP groep heeft op verzoek van de gemeente een onderzoek uitgevoerd naar het resultaat en de effectiviteit van het gevoerde </w:t>
      </w:r>
    </w:p>
    <w:p w14:paraId="20473B38" w14:textId="77777777" w:rsidR="009010BD" w:rsidRDefault="00C6359B" w:rsidP="007653A4">
      <w:pPr>
        <w:pStyle w:val="Lijstnummering"/>
        <w:numPr>
          <w:ilvl w:val="0"/>
          <w:numId w:val="0"/>
        </w:numPr>
      </w:pPr>
      <w:r>
        <w:t xml:space="preserve">beleid in de afgelopen vier jaar. </w:t>
      </w:r>
      <w:r w:rsidR="00137E4D">
        <w:t>Voor het onderzoek is gesproken met een grote groep profess</w:t>
      </w:r>
      <w:r w:rsidR="00F6597E">
        <w:t>i</w:t>
      </w:r>
      <w:r w:rsidR="00137E4D">
        <w:t>onele partners, met raadsleden</w:t>
      </w:r>
      <w:r w:rsidR="00F6597E">
        <w:t xml:space="preserve"> en</w:t>
      </w:r>
      <w:r w:rsidR="00137E4D">
        <w:t xml:space="preserve"> met bewoners. </w:t>
      </w:r>
      <w:r>
        <w:t xml:space="preserve">Tevens </w:t>
      </w:r>
    </w:p>
    <w:p w14:paraId="67B78445" w14:textId="77777777" w:rsidR="00956561" w:rsidRDefault="00C6359B" w:rsidP="007653A4">
      <w:pPr>
        <w:pStyle w:val="Lijstnummering"/>
        <w:numPr>
          <w:ilvl w:val="0"/>
          <w:numId w:val="0"/>
        </w:numPr>
      </w:pPr>
      <w:r>
        <w:t xml:space="preserve">heeft </w:t>
      </w:r>
      <w:r w:rsidR="005360E5">
        <w:t>DSP</w:t>
      </w:r>
      <w:r>
        <w:t xml:space="preserve"> inzicht geboden in de ontwikkeling van veiligheidssituatie en heeft zij een advies uitgebracht over nieuwe veiligheidsprioriteiten.</w:t>
      </w:r>
    </w:p>
    <w:p w14:paraId="065A3C5D" w14:textId="017A1C34" w:rsidR="00C6359B" w:rsidRDefault="00C6359B" w:rsidP="007653A4">
      <w:pPr>
        <w:pStyle w:val="Lijstnummering"/>
        <w:numPr>
          <w:ilvl w:val="0"/>
          <w:numId w:val="0"/>
        </w:numPr>
      </w:pPr>
      <w:r>
        <w:t xml:space="preserve">Het integrale rapport is aan raad beschikbaar gesteld en is te vinden op </w:t>
      </w:r>
      <w:r w:rsidRPr="00D27CD1">
        <w:rPr>
          <w:rStyle w:val="Hyperlink"/>
        </w:rPr>
        <w:t>www.gouda.nl/ris/</w:t>
      </w:r>
      <w:r w:rsidR="00181C75">
        <w:rPr>
          <w:rStyle w:val="Hyperlink"/>
        </w:rPr>
        <w:t>...</w:t>
      </w:r>
    </w:p>
    <w:p w14:paraId="4ECA6179" w14:textId="77777777" w:rsidR="005360E5" w:rsidRDefault="006C2BCB" w:rsidP="007653A4">
      <w:pPr>
        <w:pStyle w:val="Lijstnummering"/>
        <w:numPr>
          <w:ilvl w:val="0"/>
          <w:numId w:val="0"/>
        </w:numPr>
      </w:pPr>
      <w:r>
        <w:rPr>
          <w:noProof/>
        </w:rPr>
        <mc:AlternateContent>
          <mc:Choice Requires="wps">
            <w:drawing>
              <wp:anchor distT="91440" distB="91440" distL="114300" distR="114300" simplePos="0" relativeHeight="251668480" behindDoc="0" locked="0" layoutInCell="1" allowOverlap="1" wp14:anchorId="763F484B" wp14:editId="74C56166">
                <wp:simplePos x="0" y="0"/>
                <wp:positionH relativeFrom="margin">
                  <wp:posOffset>4071620</wp:posOffset>
                </wp:positionH>
                <wp:positionV relativeFrom="paragraph">
                  <wp:posOffset>305435</wp:posOffset>
                </wp:positionV>
                <wp:extent cx="5201920" cy="905510"/>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905510"/>
                        </a:xfrm>
                        <a:prstGeom prst="rect">
                          <a:avLst/>
                        </a:prstGeom>
                        <a:noFill/>
                        <a:ln w="9525">
                          <a:noFill/>
                          <a:miter lim="800000"/>
                          <a:headEnd/>
                          <a:tailEnd/>
                        </a:ln>
                      </wps:spPr>
                      <wps:txbx>
                        <w:txbxContent>
                          <w:p w14:paraId="035AD231" w14:textId="6A6AF1A3" w:rsidR="002036F8" w:rsidRDefault="002036F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‘’De veiligheidssituatie in de gemeente Gouda lijkt in grote lijnen onder controle’’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7" type="#_x0000_t202" style="position:absolute;margin-left:320.6pt;margin-top:24.05pt;width:409.6pt;height:71.3pt;z-index:251668480;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" filled="f" stroked="f">
                <v:textbox style="mso-fit-shape-to-text:t">
                  <w:txbxContent>
                    <w:p w14:paraId="035AD231" w14:textId="6A6AF1A3" w:rsidR="002036F8" w:rsidRDefault="002036F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‘’De veiligheidssituatie in de gemeente Gouda lijkt in grote lijnen onder controle’’</w:t>
                      </w:r>
                    </w:p>
                  </w:txbxContent>
                </v:textbox>
                <w10:wrap type="topAndBottom" anchorx="margin"/>
              </v:shape>
            </w:pict>
          </mc:Fallback>
        </mc:AlternateContent>
      </w:r>
    </w:p>
    <w:p w14:paraId="450A46CF" w14:textId="7E4BE0E2" w:rsidR="00C6359B" w:rsidRPr="00181C75" w:rsidRDefault="00C6359B" w:rsidP="007653A4">
      <w:pPr>
        <w:pStyle w:val="Lijstnummering"/>
        <w:numPr>
          <w:ilvl w:val="0"/>
          <w:numId w:val="0"/>
        </w:numPr>
        <w:rPr>
          <w:b/>
        </w:rPr>
      </w:pPr>
      <w:r w:rsidRPr="00181C75">
        <w:rPr>
          <w:b/>
        </w:rPr>
        <w:t>De belangrijkste b</w:t>
      </w:r>
      <w:r w:rsidR="00D27CD1" w:rsidRPr="00181C75">
        <w:rPr>
          <w:b/>
        </w:rPr>
        <w:t>evindingen uit het rapport zijn</w:t>
      </w:r>
      <w:r w:rsidR="00DE71B0">
        <w:rPr>
          <w:b/>
        </w:rPr>
        <w:t xml:space="preserve"> (</w:t>
      </w:r>
      <w:r w:rsidR="00784A1E">
        <w:rPr>
          <w:b/>
        </w:rPr>
        <w:t xml:space="preserve">integrale tekst overgenomen van </w:t>
      </w:r>
      <w:r w:rsidR="00DE71B0">
        <w:rPr>
          <w:b/>
        </w:rPr>
        <w:t>pag.47)</w:t>
      </w:r>
      <w:r w:rsidR="00D27CD1" w:rsidRPr="00181C75">
        <w:rPr>
          <w:b/>
        </w:rPr>
        <w:t>:</w:t>
      </w:r>
    </w:p>
    <w:p w14:paraId="364B4399" w14:textId="77777777" w:rsidR="00370AD9" w:rsidRPr="00181C75" w:rsidRDefault="00370AD9" w:rsidP="007653A4">
      <w:pPr>
        <w:pStyle w:val="Lijstnummering"/>
        <w:numPr>
          <w:ilvl w:val="0"/>
          <w:numId w:val="0"/>
        </w:numPr>
        <w:rPr>
          <w:color w:val="0070C0"/>
        </w:rPr>
      </w:pPr>
    </w:p>
    <w:p w14:paraId="006D1A9B" w14:textId="77777777" w:rsidR="00370AD9" w:rsidRPr="00181C75" w:rsidRDefault="00182002" w:rsidP="007653A4">
      <w:pPr>
        <w:pStyle w:val="Default"/>
        <w:rPr>
          <w:color w:val="0070C0"/>
          <w:sz w:val="20"/>
          <w:szCs w:val="20"/>
        </w:rPr>
      </w:pPr>
      <w:r w:rsidRPr="00181C75">
        <w:rPr>
          <w:color w:val="0070C0"/>
          <w:sz w:val="20"/>
          <w:szCs w:val="20"/>
        </w:rPr>
        <w:tab/>
      </w:r>
      <w:r w:rsidR="00370AD9" w:rsidRPr="00181C75">
        <w:rPr>
          <w:color w:val="0070C0"/>
          <w:sz w:val="20"/>
          <w:szCs w:val="20"/>
        </w:rPr>
        <w:t xml:space="preserve">De veiligheidssituatie in de gemeente Gouda lijkt in grote lijnen onder controle. De gemeente zet breed in op verschillende veiligheidsproblemen. De </w:t>
      </w:r>
      <w:r w:rsidRPr="00181C75">
        <w:rPr>
          <w:color w:val="0070C0"/>
          <w:sz w:val="20"/>
          <w:szCs w:val="20"/>
        </w:rPr>
        <w:tab/>
      </w:r>
      <w:r w:rsidR="00370AD9" w:rsidRPr="00181C75">
        <w:rPr>
          <w:color w:val="0070C0"/>
          <w:sz w:val="20"/>
          <w:szCs w:val="20"/>
        </w:rPr>
        <w:t xml:space="preserve">beleidsdoelen zijn in 2017 niet allemaal gehaald, maar hierbij geldt de kanttekening dat deze bewust ambitieus zijn geformuleerd om de stakeholders </w:t>
      </w:r>
      <w:r w:rsidRPr="00181C75">
        <w:rPr>
          <w:color w:val="0070C0"/>
          <w:sz w:val="20"/>
          <w:szCs w:val="20"/>
        </w:rPr>
        <w:tab/>
      </w:r>
      <w:r w:rsidR="00370AD9" w:rsidRPr="00181C75">
        <w:rPr>
          <w:color w:val="0070C0"/>
          <w:sz w:val="20"/>
          <w:szCs w:val="20"/>
        </w:rPr>
        <w:t xml:space="preserve">scherp te houden. Daarbij geldt ook dat je nooit tevreden kunt zijn op dit beleidsterrein: elke inbraak is er één teveel. Veel van de ingezette </w:t>
      </w:r>
      <w:r w:rsidRPr="00181C75">
        <w:rPr>
          <w:color w:val="0070C0"/>
          <w:sz w:val="20"/>
          <w:szCs w:val="20"/>
        </w:rPr>
        <w:tab/>
      </w:r>
      <w:r w:rsidR="00370AD9" w:rsidRPr="00181C75">
        <w:rPr>
          <w:color w:val="0070C0"/>
          <w:sz w:val="20"/>
          <w:szCs w:val="20"/>
        </w:rPr>
        <w:t xml:space="preserve">maatregelen zijn volgens de literatuur bewezen effectief, maar niet allemaal. Ook is er in Gouda een hang naar dadergerichte maatregelen en krijgen </w:t>
      </w:r>
      <w:r w:rsidRPr="00181C75">
        <w:rPr>
          <w:color w:val="0070C0"/>
          <w:sz w:val="20"/>
          <w:szCs w:val="20"/>
        </w:rPr>
        <w:tab/>
      </w:r>
      <w:r w:rsidR="00370AD9" w:rsidRPr="00181C75">
        <w:rPr>
          <w:color w:val="0070C0"/>
          <w:sz w:val="20"/>
          <w:szCs w:val="20"/>
        </w:rPr>
        <w:t>potentiele slachtoffers en de</w:t>
      </w:r>
      <w:r w:rsidRPr="00181C75">
        <w:rPr>
          <w:color w:val="0070C0"/>
          <w:sz w:val="20"/>
          <w:szCs w:val="20"/>
        </w:rPr>
        <w:t xml:space="preserve"> </w:t>
      </w:r>
      <w:r w:rsidR="00370AD9" w:rsidRPr="00181C75">
        <w:rPr>
          <w:color w:val="0070C0"/>
          <w:sz w:val="20"/>
          <w:szCs w:val="20"/>
        </w:rPr>
        <w:t xml:space="preserve">omgeving minder aandacht. Op deze punten valt de komende jaren winst te boeken. </w:t>
      </w:r>
    </w:p>
    <w:p w14:paraId="74A24D80" w14:textId="77777777" w:rsidR="00F6597E" w:rsidRPr="00181C75" w:rsidRDefault="00F6597E" w:rsidP="007653A4">
      <w:pPr>
        <w:pStyle w:val="Default"/>
        <w:rPr>
          <w:color w:val="0070C0"/>
          <w:sz w:val="20"/>
          <w:szCs w:val="20"/>
        </w:rPr>
      </w:pPr>
    </w:p>
    <w:p w14:paraId="11841340" w14:textId="04A27FB5" w:rsidR="00370AD9" w:rsidRPr="00181C75" w:rsidRDefault="00370AD9" w:rsidP="007653A4">
      <w:pPr>
        <w:pStyle w:val="Default"/>
        <w:ind w:left="709"/>
        <w:rPr>
          <w:color w:val="0070C0"/>
          <w:sz w:val="20"/>
          <w:szCs w:val="20"/>
        </w:rPr>
      </w:pPr>
      <w:r w:rsidRPr="00181C75">
        <w:rPr>
          <w:color w:val="0070C0"/>
          <w:sz w:val="20"/>
          <w:szCs w:val="20"/>
        </w:rPr>
        <w:t xml:space="preserve">Een aantal wijken in Gouda heeft een relatief hoog risicoprofiel, maar in andere gemeenten zijn wijken te vinden met een stuk hoger risicoprofiel. Opvallend is het relatief grote aandeel bewoners met een Marokkaanse achtergrond voor zowel de gemeente als de wijken. Zoals we eerder toelichtten kan de aanwezigheid van verschillende (etnische) bevolkingsgroepen de sociale controle binnen buurten aantasten en kan een buurt daardoor kwetsbaarder worden </w:t>
      </w:r>
      <w:r w:rsidR="00182002" w:rsidRPr="00181C75">
        <w:rPr>
          <w:color w:val="0070C0"/>
          <w:sz w:val="20"/>
          <w:szCs w:val="20"/>
        </w:rPr>
        <w:tab/>
      </w:r>
      <w:r w:rsidRPr="00181C75">
        <w:rPr>
          <w:color w:val="0070C0"/>
          <w:sz w:val="20"/>
          <w:szCs w:val="20"/>
        </w:rPr>
        <w:t xml:space="preserve">voor criminaliteit. Verder blijkt uit CBS-cijfers </w:t>
      </w:r>
      <w:r w:rsidR="00181C75" w:rsidRPr="00181C75">
        <w:rPr>
          <w:color w:val="0070C0"/>
          <w:sz w:val="20"/>
          <w:szCs w:val="20"/>
        </w:rPr>
        <w:t>dat personen met een Marokkaans-Nederlandse</w:t>
      </w:r>
      <w:r w:rsidRPr="00181C75">
        <w:rPr>
          <w:color w:val="0070C0"/>
          <w:sz w:val="20"/>
          <w:szCs w:val="20"/>
        </w:rPr>
        <w:t xml:space="preserve"> achtergrond relatief vaak als verdachte van een misdrijf wordt</w:t>
      </w:r>
      <w:r w:rsidR="00182002" w:rsidRPr="00181C75">
        <w:rPr>
          <w:color w:val="0070C0"/>
          <w:sz w:val="20"/>
          <w:szCs w:val="20"/>
        </w:rPr>
        <w:t xml:space="preserve"> </w:t>
      </w:r>
      <w:r w:rsidRPr="00181C75">
        <w:rPr>
          <w:color w:val="0070C0"/>
          <w:sz w:val="20"/>
          <w:szCs w:val="20"/>
        </w:rPr>
        <w:t xml:space="preserve">geregistreerd. We hebben geen signalen gehoord dat deze specifieke Goudse wijken in de praktijk een slechte </w:t>
      </w:r>
      <w:r w:rsidR="00182002" w:rsidRPr="00181C75">
        <w:rPr>
          <w:color w:val="0070C0"/>
          <w:sz w:val="20"/>
          <w:szCs w:val="20"/>
        </w:rPr>
        <w:tab/>
      </w:r>
      <w:r w:rsidRPr="00181C75">
        <w:rPr>
          <w:color w:val="0070C0"/>
          <w:sz w:val="20"/>
          <w:szCs w:val="20"/>
        </w:rPr>
        <w:t xml:space="preserve">ontwikkeling doormaken op het gebied van veiligheid. </w:t>
      </w:r>
    </w:p>
    <w:p w14:paraId="12E344E9" w14:textId="77777777" w:rsidR="005360E5" w:rsidRPr="00181C75" w:rsidRDefault="005360E5" w:rsidP="007653A4">
      <w:pPr>
        <w:pStyle w:val="Lijstnummering"/>
        <w:numPr>
          <w:ilvl w:val="0"/>
          <w:numId w:val="0"/>
        </w:numPr>
        <w:rPr>
          <w:color w:val="0070C0"/>
        </w:rPr>
      </w:pPr>
    </w:p>
    <w:p w14:paraId="33D75D23" w14:textId="77777777" w:rsidR="00370AD9" w:rsidRPr="00181C75" w:rsidRDefault="00370AD9" w:rsidP="007653A4">
      <w:pPr>
        <w:pStyle w:val="Lijstnummering"/>
        <w:numPr>
          <w:ilvl w:val="0"/>
          <w:numId w:val="0"/>
        </w:numPr>
        <w:ind w:left="709"/>
        <w:rPr>
          <w:color w:val="0070C0"/>
        </w:rPr>
      </w:pPr>
      <w:r w:rsidRPr="00181C75">
        <w:rPr>
          <w:color w:val="0070C0"/>
        </w:rPr>
        <w:t>Uit de analyse van de huidige veiligheidssituatie komt geen verontrustend beeld. Wel zijn er verontrustende signalen d</w:t>
      </w:r>
      <w:r w:rsidR="005360E5" w:rsidRPr="00181C75">
        <w:rPr>
          <w:color w:val="0070C0"/>
        </w:rPr>
        <w:t xml:space="preserve">ie niet door cijfers onderbouwd </w:t>
      </w:r>
      <w:r w:rsidRPr="00181C75">
        <w:rPr>
          <w:color w:val="0070C0"/>
        </w:rPr>
        <w:t xml:space="preserve">(kunnen) worden. Zo geven verschillende respondenten aan een verschuiving onder criminele jeugd waar te nemen van HIC-delicten naar drugscriminaliteit. Deze (vermoede) verschuiving zien we ook in andere steden, het beeld van Nederland als </w:t>
      </w:r>
      <w:proofErr w:type="spellStart"/>
      <w:r w:rsidRPr="00181C75">
        <w:rPr>
          <w:iCs/>
          <w:color w:val="0070C0"/>
        </w:rPr>
        <w:t>narcostaat</w:t>
      </w:r>
      <w:proofErr w:type="spellEnd"/>
      <w:r w:rsidRPr="00181C75">
        <w:rPr>
          <w:iCs/>
          <w:color w:val="0070C0"/>
        </w:rPr>
        <w:t xml:space="preserve"> </w:t>
      </w:r>
      <w:r w:rsidRPr="00181C75">
        <w:rPr>
          <w:color w:val="0070C0"/>
        </w:rPr>
        <w:t xml:space="preserve">waarbinnen jongeren een lucratieve criminele carrière kunnen maken vindt steeds meer gehoor. In dat beeld valt ook ondermijning door drugscriminaliteit, ook daarover zijn zorgen in Gouda. Als laatste bestaan er zorgen over </w:t>
      </w:r>
      <w:proofErr w:type="spellStart"/>
      <w:r w:rsidRPr="00181C75">
        <w:rPr>
          <w:color w:val="0070C0"/>
        </w:rPr>
        <w:t>terugkeerders</w:t>
      </w:r>
      <w:proofErr w:type="spellEnd"/>
      <w:r w:rsidRPr="00181C75">
        <w:rPr>
          <w:color w:val="0070C0"/>
        </w:rPr>
        <w:t>, cybercrime en polarisatie.</w:t>
      </w:r>
    </w:p>
    <w:p w14:paraId="681CCDEC" w14:textId="77777777" w:rsidR="005360E5" w:rsidRPr="00182002" w:rsidRDefault="005360E5" w:rsidP="007653A4">
      <w:pPr>
        <w:pStyle w:val="Lijstnummering"/>
        <w:numPr>
          <w:ilvl w:val="0"/>
          <w:numId w:val="0"/>
        </w:numPr>
        <w:rPr>
          <w:i/>
        </w:rPr>
      </w:pPr>
    </w:p>
    <w:p w14:paraId="3414B824" w14:textId="77777777" w:rsidR="00182002" w:rsidRDefault="00182002" w:rsidP="007653A4">
      <w:pPr>
        <w:pStyle w:val="Lijstnummering"/>
        <w:numPr>
          <w:ilvl w:val="0"/>
          <w:numId w:val="0"/>
        </w:numPr>
      </w:pPr>
    </w:p>
    <w:p w14:paraId="3E288688" w14:textId="77777777" w:rsidR="00784A1E" w:rsidRDefault="00C57EDB" w:rsidP="007653A4">
      <w:pPr>
        <w:pStyle w:val="Lijstnummering"/>
        <w:numPr>
          <w:ilvl w:val="0"/>
          <w:numId w:val="0"/>
        </w:numPr>
        <w:ind w:left="360"/>
        <w:rPr>
          <w:b/>
        </w:rPr>
      </w:pPr>
      <w:r>
        <w:rPr>
          <w:noProof/>
        </w:rPr>
        <w:drawing>
          <wp:anchor distT="0" distB="0" distL="114300" distR="114300" simplePos="0" relativeHeight="251689984" behindDoc="0" locked="0" layoutInCell="1" allowOverlap="1" wp14:anchorId="54AE268B" wp14:editId="64D5D6D7">
            <wp:simplePos x="0" y="0"/>
            <wp:positionH relativeFrom="column">
              <wp:posOffset>3100070</wp:posOffset>
            </wp:positionH>
            <wp:positionV relativeFrom="paragraph">
              <wp:posOffset>0</wp:posOffset>
            </wp:positionV>
            <wp:extent cx="5905500" cy="312525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aatje prio 3 aangepast2e 27-11.png"/>
                    <pic:cNvPicPr/>
                  </pic:nvPicPr>
                  <pic:blipFill>
                    <a:blip r:embed="rId9">
                      <a:extLst>
                        <a:ext uri="{28A0092B-C50C-407E-A947-70E740481C1C}">
                          <a14:useLocalDpi xmlns:a14="http://schemas.microsoft.com/office/drawing/2010/main" val="0"/>
                        </a:ext>
                      </a:extLst>
                    </a:blip>
                    <a:stretch>
                      <a:fillRect/>
                    </a:stretch>
                  </pic:blipFill>
                  <pic:spPr>
                    <a:xfrm>
                      <a:off x="0" y="0"/>
                      <a:ext cx="5905500" cy="3125250"/>
                    </a:xfrm>
                    <a:prstGeom prst="rect">
                      <a:avLst/>
                    </a:prstGeom>
                  </pic:spPr>
                </pic:pic>
              </a:graphicData>
            </a:graphic>
          </wp:anchor>
        </w:drawing>
      </w:r>
      <w:r>
        <w:rPr>
          <w:noProof/>
        </w:rPr>
        <mc:AlternateContent>
          <mc:Choice Requires="wps">
            <w:drawing>
              <wp:anchor distT="45720" distB="45720" distL="114300" distR="114300" simplePos="0" relativeHeight="251681792" behindDoc="0" locked="0" layoutInCell="1" allowOverlap="1" wp14:anchorId="0521FF62" wp14:editId="5CB427F3">
                <wp:simplePos x="0" y="0"/>
                <wp:positionH relativeFrom="margin">
                  <wp:align>right</wp:align>
                </wp:positionH>
                <wp:positionV relativeFrom="paragraph">
                  <wp:posOffset>111760</wp:posOffset>
                </wp:positionV>
                <wp:extent cx="4772025" cy="238125"/>
                <wp:effectExtent l="0" t="0" r="28575" b="2857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8125"/>
                        </a:xfrm>
                        <a:prstGeom prst="rect">
                          <a:avLst/>
                        </a:prstGeom>
                        <a:solidFill>
                          <a:srgbClr val="FFFFFF"/>
                        </a:solidFill>
                        <a:ln w="9525">
                          <a:solidFill>
                            <a:srgbClr val="000000"/>
                          </a:solidFill>
                          <a:miter lim="800000"/>
                          <a:headEnd/>
                          <a:tailEnd/>
                        </a:ln>
                      </wps:spPr>
                      <wps:txbx>
                        <w:txbxContent>
                          <w:p w14:paraId="07689F0C" w14:textId="77777777" w:rsidR="002036F8" w:rsidRPr="00A31CD7" w:rsidRDefault="002036F8" w:rsidP="00A31CD7">
                            <w:pPr>
                              <w:pStyle w:val="Lijstnummering"/>
                              <w:numPr>
                                <w:ilvl w:val="0"/>
                                <w:numId w:val="0"/>
                              </w:numPr>
                              <w:ind w:left="360" w:hanging="360"/>
                            </w:pPr>
                            <w:r w:rsidRPr="00A31CD7">
                              <w:t xml:space="preserve">Schematische weergave van het advies van DSP over de prioriteiten </w:t>
                            </w:r>
                          </w:p>
                          <w:p w14:paraId="1135B2E9" w14:textId="6850D7CF" w:rsidR="002036F8" w:rsidRDefault="002036F8" w:rsidP="00A31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55pt;margin-top:8.8pt;width:375.75pt;height:18.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">
                <v:textbox>
                  <w:txbxContent>
                    <w:p w14:paraId="07689F0C" w14:textId="77777777" w:rsidR="002036F8" w:rsidRPr="00A31CD7" w:rsidRDefault="002036F8" w:rsidP="00A31CD7">
                      <w:pPr>
                        <w:pStyle w:val="Lijstnummering"/>
                        <w:numPr>
                          <w:ilvl w:val="0"/>
                          <w:numId w:val="0"/>
                        </w:numPr>
                        <w:ind w:left="360" w:hanging="360"/>
                      </w:pPr>
                      <w:r w:rsidRPr="00A31CD7">
                        <w:t xml:space="preserve">Schematische weergave van het advies van DSP over de prioriteiten </w:t>
                      </w:r>
                    </w:p>
                    <w:p w14:paraId="1135B2E9" w14:textId="6850D7CF" w:rsidR="002036F8" w:rsidRDefault="002036F8" w:rsidP="00A31CD7"/>
                  </w:txbxContent>
                </v:textbox>
                <w10:wrap type="square" anchorx="margin"/>
              </v:shape>
            </w:pict>
          </mc:Fallback>
        </mc:AlternateContent>
      </w:r>
      <w:r w:rsidR="00A038B5">
        <w:rPr>
          <w:b/>
        </w:rPr>
        <w:t>Toelichting bij het advies (</w:t>
      </w:r>
      <w:r w:rsidR="00784A1E">
        <w:rPr>
          <w:b/>
        </w:rPr>
        <w:t xml:space="preserve">integrale tekst </w:t>
      </w:r>
    </w:p>
    <w:p w14:paraId="4F652D35" w14:textId="255DF703" w:rsidR="00A038B5" w:rsidRPr="00C57EDB" w:rsidRDefault="00784A1E" w:rsidP="007653A4">
      <w:pPr>
        <w:pStyle w:val="Lijstnummering"/>
        <w:numPr>
          <w:ilvl w:val="0"/>
          <w:numId w:val="0"/>
        </w:numPr>
        <w:ind w:left="360"/>
      </w:pPr>
      <w:r>
        <w:rPr>
          <w:b/>
        </w:rPr>
        <w:t xml:space="preserve">overgenomen van </w:t>
      </w:r>
      <w:r w:rsidR="00A038B5">
        <w:rPr>
          <w:b/>
        </w:rPr>
        <w:t>pag. 60-62 uit het rapport</w:t>
      </w:r>
      <w:r>
        <w:rPr>
          <w:b/>
        </w:rPr>
        <w:t>)</w:t>
      </w:r>
      <w:r w:rsidR="00A038B5">
        <w:rPr>
          <w:b/>
        </w:rPr>
        <w:t>:</w:t>
      </w:r>
    </w:p>
    <w:p w14:paraId="4A588C02" w14:textId="6D231C43" w:rsidR="00D408CB" w:rsidRDefault="00D408CB" w:rsidP="007653A4">
      <w:pPr>
        <w:pStyle w:val="Lijstnummering"/>
        <w:numPr>
          <w:ilvl w:val="0"/>
          <w:numId w:val="0"/>
        </w:numPr>
        <w:ind w:left="360"/>
      </w:pPr>
    </w:p>
    <w:p w14:paraId="420009E9" w14:textId="77777777" w:rsidR="00D408CB" w:rsidRPr="00181C75" w:rsidRDefault="00D408CB" w:rsidP="007653A4">
      <w:pPr>
        <w:pStyle w:val="Default"/>
        <w:rPr>
          <w:color w:val="0070C0"/>
          <w:sz w:val="26"/>
          <w:szCs w:val="26"/>
        </w:rPr>
      </w:pPr>
      <w:r w:rsidRPr="00181C75">
        <w:rPr>
          <w:color w:val="0070C0"/>
          <w:sz w:val="26"/>
          <w:szCs w:val="26"/>
        </w:rPr>
        <w:t xml:space="preserve">Aanpak jeugdcriminaliteit </w:t>
      </w:r>
    </w:p>
    <w:p w14:paraId="1688F9AD" w14:textId="4A5FC5D6" w:rsidR="00D408CB" w:rsidRPr="00181C75" w:rsidRDefault="00D408CB" w:rsidP="007653A4">
      <w:pPr>
        <w:pStyle w:val="Default"/>
        <w:rPr>
          <w:color w:val="0070C0"/>
          <w:sz w:val="20"/>
          <w:szCs w:val="20"/>
        </w:rPr>
      </w:pPr>
      <w:r w:rsidRPr="00181C75">
        <w:rPr>
          <w:b/>
          <w:bCs/>
          <w:color w:val="0070C0"/>
          <w:sz w:val="20"/>
          <w:szCs w:val="20"/>
        </w:rPr>
        <w:t xml:space="preserve">Jeugdcriminaliteit </w:t>
      </w:r>
      <w:r w:rsidRPr="00181C75">
        <w:rPr>
          <w:color w:val="0070C0"/>
          <w:sz w:val="20"/>
          <w:szCs w:val="20"/>
        </w:rPr>
        <w:t>wordt gezien als een centraal veiligheidsprobleem in de gemeente. Door het grote aandeel inwoners met een Marokkaanse achtergrond en door de oververtegenwoordiging in politieregistraties</w:t>
      </w:r>
      <w:r w:rsidRPr="00181C75">
        <w:rPr>
          <w:color w:val="0070C0"/>
          <w:sz w:val="13"/>
          <w:szCs w:val="13"/>
        </w:rPr>
        <w:t xml:space="preserve"> </w:t>
      </w:r>
      <w:r w:rsidRPr="00181C75">
        <w:rPr>
          <w:color w:val="0070C0"/>
          <w:sz w:val="20"/>
          <w:szCs w:val="20"/>
        </w:rPr>
        <w:t xml:space="preserve">staat de </w:t>
      </w:r>
      <w:r w:rsidRPr="00181C75">
        <w:rPr>
          <w:b/>
          <w:bCs/>
          <w:color w:val="0070C0"/>
          <w:sz w:val="20"/>
          <w:szCs w:val="20"/>
        </w:rPr>
        <w:t>criminaliteit onder Marokkaans</w:t>
      </w:r>
      <w:r w:rsidR="00F6597E" w:rsidRPr="00181C75">
        <w:rPr>
          <w:b/>
          <w:bCs/>
          <w:color w:val="0070C0"/>
          <w:sz w:val="20"/>
          <w:szCs w:val="20"/>
        </w:rPr>
        <w:t>-Nederlandse</w:t>
      </w:r>
      <w:r w:rsidRPr="00181C75">
        <w:rPr>
          <w:b/>
          <w:bCs/>
          <w:color w:val="0070C0"/>
          <w:sz w:val="20"/>
          <w:szCs w:val="20"/>
        </w:rPr>
        <w:t xml:space="preserve"> jongeren </w:t>
      </w:r>
      <w:r w:rsidRPr="00181C75">
        <w:rPr>
          <w:color w:val="0070C0"/>
          <w:sz w:val="20"/>
          <w:szCs w:val="20"/>
        </w:rPr>
        <w:t>hierin centraal. Marokkaans</w:t>
      </w:r>
      <w:r w:rsidR="00F6597E" w:rsidRPr="00181C75">
        <w:rPr>
          <w:color w:val="0070C0"/>
          <w:sz w:val="20"/>
          <w:szCs w:val="20"/>
        </w:rPr>
        <w:t>- Nederlandse</w:t>
      </w:r>
      <w:r w:rsidRPr="00181C75">
        <w:rPr>
          <w:color w:val="0070C0"/>
          <w:sz w:val="20"/>
          <w:szCs w:val="20"/>
        </w:rPr>
        <w:t xml:space="preserve"> risicojongeren kunnen ook vatbaar zijn voor </w:t>
      </w:r>
      <w:r w:rsidRPr="00181C75">
        <w:rPr>
          <w:b/>
          <w:bCs/>
          <w:color w:val="0070C0"/>
          <w:sz w:val="20"/>
          <w:szCs w:val="20"/>
        </w:rPr>
        <w:t>radicalisering</w:t>
      </w:r>
      <w:r w:rsidRPr="00181C75">
        <w:rPr>
          <w:color w:val="0070C0"/>
          <w:sz w:val="20"/>
          <w:szCs w:val="20"/>
        </w:rPr>
        <w:t>. O</w:t>
      </w:r>
      <w:r w:rsidR="00CF44F1" w:rsidRPr="00181C75">
        <w:rPr>
          <w:color w:val="0070C0"/>
          <w:sz w:val="20"/>
          <w:szCs w:val="20"/>
        </w:rPr>
        <w:t>ok o</w:t>
      </w:r>
      <w:r w:rsidRPr="00181C75">
        <w:rPr>
          <w:color w:val="0070C0"/>
          <w:sz w:val="20"/>
          <w:szCs w:val="20"/>
        </w:rPr>
        <w:t xml:space="preserve">p dit gebied zijn er zorgen om nieuwe aanwas. Er zijn signalen in het land dat </w:t>
      </w:r>
      <w:proofErr w:type="spellStart"/>
      <w:r w:rsidRPr="00181C75">
        <w:rPr>
          <w:color w:val="0070C0"/>
          <w:sz w:val="20"/>
          <w:szCs w:val="20"/>
        </w:rPr>
        <w:t>geradicaliseerden</w:t>
      </w:r>
      <w:proofErr w:type="spellEnd"/>
      <w:r w:rsidRPr="00181C75">
        <w:rPr>
          <w:color w:val="0070C0"/>
          <w:sz w:val="20"/>
          <w:szCs w:val="20"/>
        </w:rPr>
        <w:t xml:space="preserve"> steeds vaker samenwerken met criminele netwerken, hierdoor kan het onderscheid tussen deze twee beleidsthema’s vervagen. Radicalisering hangt volgens de betrokkenen in Gouda sterk samen met </w:t>
      </w:r>
      <w:r w:rsidRPr="00181C75">
        <w:rPr>
          <w:b/>
          <w:bCs/>
          <w:color w:val="0070C0"/>
          <w:sz w:val="20"/>
          <w:szCs w:val="20"/>
        </w:rPr>
        <w:t>polarisatie</w:t>
      </w:r>
      <w:r w:rsidRPr="00181C75">
        <w:rPr>
          <w:color w:val="0070C0"/>
          <w:sz w:val="20"/>
          <w:szCs w:val="20"/>
        </w:rPr>
        <w:t xml:space="preserve">. In Gouda komt het </w:t>
      </w:r>
      <w:r w:rsidR="008A651F">
        <w:rPr>
          <w:color w:val="0070C0"/>
          <w:sz w:val="20"/>
          <w:szCs w:val="20"/>
        </w:rPr>
        <w:t xml:space="preserve">bijv. </w:t>
      </w:r>
      <w:r w:rsidRPr="00181C75">
        <w:rPr>
          <w:color w:val="0070C0"/>
          <w:sz w:val="20"/>
          <w:szCs w:val="20"/>
        </w:rPr>
        <w:t>voor dat groepen</w:t>
      </w:r>
      <w:r w:rsidR="006651BF" w:rsidRPr="00181C75">
        <w:rPr>
          <w:color w:val="0070C0"/>
          <w:sz w:val="20"/>
          <w:szCs w:val="20"/>
        </w:rPr>
        <w:t xml:space="preserve"> kinderen of</w:t>
      </w:r>
      <w:r w:rsidRPr="00181C75">
        <w:rPr>
          <w:color w:val="0070C0"/>
          <w:sz w:val="20"/>
          <w:szCs w:val="20"/>
        </w:rPr>
        <w:t xml:space="preserve"> jongeren tegenover elkaar staan</w:t>
      </w:r>
      <w:r w:rsidR="006651BF" w:rsidRPr="00181C75">
        <w:rPr>
          <w:color w:val="0070C0"/>
          <w:sz w:val="20"/>
          <w:szCs w:val="20"/>
        </w:rPr>
        <w:t xml:space="preserve"> en elkaar uitsluiten</w:t>
      </w:r>
      <w:r w:rsidRPr="00181C75">
        <w:rPr>
          <w:color w:val="0070C0"/>
          <w:sz w:val="20"/>
          <w:szCs w:val="20"/>
        </w:rPr>
        <w:t xml:space="preserve">, zoals in speeltuinen of op scholen. </w:t>
      </w:r>
    </w:p>
    <w:p w14:paraId="1FDF2702" w14:textId="77777777" w:rsidR="00D408CB" w:rsidRPr="00181C75" w:rsidRDefault="00D408CB" w:rsidP="007653A4">
      <w:pPr>
        <w:pStyle w:val="Lijstnummering"/>
        <w:numPr>
          <w:ilvl w:val="0"/>
          <w:numId w:val="0"/>
        </w:numPr>
        <w:ind w:left="360"/>
        <w:rPr>
          <w:color w:val="0070C0"/>
        </w:rPr>
      </w:pPr>
    </w:p>
    <w:p w14:paraId="58846621" w14:textId="77777777" w:rsidR="00C57EDB" w:rsidRDefault="00D408CB" w:rsidP="007653A4">
      <w:pPr>
        <w:pStyle w:val="Lijstnummering"/>
        <w:numPr>
          <w:ilvl w:val="0"/>
          <w:numId w:val="0"/>
        </w:numPr>
        <w:rPr>
          <w:color w:val="0070C0"/>
        </w:rPr>
      </w:pPr>
      <w:r w:rsidRPr="00181C75">
        <w:rPr>
          <w:color w:val="0070C0"/>
        </w:rPr>
        <w:t xml:space="preserve">Uit dit onderzoek komt het sterke vermoeden dat er onder </w:t>
      </w:r>
    </w:p>
    <w:p w14:paraId="6FED4CD5" w14:textId="77777777" w:rsidR="00C57EDB" w:rsidRDefault="00D408CB" w:rsidP="007653A4">
      <w:pPr>
        <w:pStyle w:val="Lijstnummering"/>
        <w:numPr>
          <w:ilvl w:val="0"/>
          <w:numId w:val="0"/>
        </w:numPr>
        <w:rPr>
          <w:color w:val="0070C0"/>
        </w:rPr>
      </w:pPr>
      <w:r w:rsidRPr="00181C75">
        <w:rPr>
          <w:color w:val="0070C0"/>
        </w:rPr>
        <w:t xml:space="preserve">criminele jongeren een verschuiving is van </w:t>
      </w:r>
    </w:p>
    <w:p w14:paraId="142F5B0D" w14:textId="7DA97824" w:rsidR="00181C75" w:rsidRPr="00181C75" w:rsidRDefault="00D408CB" w:rsidP="007653A4">
      <w:pPr>
        <w:pStyle w:val="Lijstnummering"/>
        <w:numPr>
          <w:ilvl w:val="0"/>
          <w:numId w:val="0"/>
        </w:numPr>
        <w:rPr>
          <w:color w:val="0070C0"/>
        </w:rPr>
      </w:pPr>
      <w:r w:rsidRPr="00181C75">
        <w:rPr>
          <w:b/>
          <w:bCs/>
          <w:color w:val="0070C0"/>
        </w:rPr>
        <w:t xml:space="preserve">woninginbraken </w:t>
      </w:r>
      <w:r w:rsidRPr="00181C75">
        <w:rPr>
          <w:color w:val="0070C0"/>
        </w:rPr>
        <w:t xml:space="preserve">naar </w:t>
      </w:r>
      <w:r w:rsidRPr="00181C75">
        <w:rPr>
          <w:b/>
          <w:bCs/>
          <w:color w:val="0070C0"/>
        </w:rPr>
        <w:t xml:space="preserve">drugscriminaliteit </w:t>
      </w:r>
      <w:r w:rsidRPr="00181C75">
        <w:rPr>
          <w:color w:val="0070C0"/>
        </w:rPr>
        <w:t xml:space="preserve">(met </w:t>
      </w:r>
    </w:p>
    <w:p w14:paraId="4F3A7BC8" w14:textId="77777777" w:rsidR="00181C75" w:rsidRPr="00181C75" w:rsidRDefault="00D408CB" w:rsidP="007653A4">
      <w:pPr>
        <w:pStyle w:val="Lijstnummering"/>
        <w:numPr>
          <w:ilvl w:val="0"/>
          <w:numId w:val="0"/>
        </w:numPr>
        <w:rPr>
          <w:color w:val="0070C0"/>
        </w:rPr>
      </w:pPr>
      <w:r w:rsidRPr="00181C75">
        <w:rPr>
          <w:color w:val="0070C0"/>
        </w:rPr>
        <w:t xml:space="preserve">bijbehorende </w:t>
      </w:r>
      <w:r w:rsidRPr="00181C75">
        <w:rPr>
          <w:b/>
          <w:bCs/>
          <w:color w:val="0070C0"/>
        </w:rPr>
        <w:t>drugsoverlast</w:t>
      </w:r>
      <w:r w:rsidRPr="00181C75">
        <w:rPr>
          <w:color w:val="0070C0"/>
        </w:rPr>
        <w:t xml:space="preserve">). Dit hangt uiteraard samen met </w:t>
      </w:r>
      <w:r w:rsidRPr="00181C75">
        <w:rPr>
          <w:b/>
          <w:bCs/>
          <w:color w:val="0070C0"/>
        </w:rPr>
        <w:t>ondermijning door het illegale drugscircuit</w:t>
      </w:r>
      <w:r w:rsidRPr="00181C75">
        <w:rPr>
          <w:color w:val="0070C0"/>
        </w:rPr>
        <w:t xml:space="preserve">. Extra aandacht is nodig om deze verschuiving </w:t>
      </w:r>
    </w:p>
    <w:p w14:paraId="7BC1B4BC" w14:textId="77777777" w:rsidR="00181C75" w:rsidRPr="00181C75" w:rsidRDefault="00D408CB" w:rsidP="007653A4">
      <w:pPr>
        <w:pStyle w:val="Lijstnummering"/>
        <w:numPr>
          <w:ilvl w:val="0"/>
          <w:numId w:val="0"/>
        </w:numPr>
        <w:rPr>
          <w:color w:val="0070C0"/>
        </w:rPr>
      </w:pPr>
      <w:r w:rsidRPr="00181C75">
        <w:rPr>
          <w:color w:val="0070C0"/>
        </w:rPr>
        <w:t xml:space="preserve">verder te onderzoeken en ondertussen is het niet verstandig de prioriteit woninginbraken af te schalen. Dit omdat de daling van dit delict pas recent is ingezet, </w:t>
      </w:r>
    </w:p>
    <w:p w14:paraId="1023FE67" w14:textId="77777777" w:rsidR="00181C75" w:rsidRPr="00181C75" w:rsidRDefault="00D408CB" w:rsidP="007653A4">
      <w:pPr>
        <w:pStyle w:val="Lijstnummering"/>
        <w:numPr>
          <w:ilvl w:val="0"/>
          <w:numId w:val="0"/>
        </w:numPr>
        <w:rPr>
          <w:color w:val="0070C0"/>
        </w:rPr>
      </w:pPr>
      <w:r w:rsidRPr="00181C75">
        <w:rPr>
          <w:color w:val="0070C0"/>
        </w:rPr>
        <w:t xml:space="preserve">omdat mensen in Gouda nog relatief vaak slachtoffer worden van deze high impact crime en omdat de politie aangeeft dat door de </w:t>
      </w:r>
      <w:r w:rsidR="006651BF" w:rsidRPr="00181C75">
        <w:rPr>
          <w:color w:val="0070C0"/>
        </w:rPr>
        <w:t xml:space="preserve">blijvende </w:t>
      </w:r>
      <w:r w:rsidRPr="00181C75">
        <w:rPr>
          <w:color w:val="0070C0"/>
        </w:rPr>
        <w:t xml:space="preserve">verhoogde inzet </w:t>
      </w:r>
    </w:p>
    <w:p w14:paraId="6438B3F8" w14:textId="77777777" w:rsidR="00181C75" w:rsidRPr="00181C75" w:rsidRDefault="00D408CB" w:rsidP="007653A4">
      <w:pPr>
        <w:pStyle w:val="Lijstnummering"/>
        <w:numPr>
          <w:ilvl w:val="0"/>
          <w:numId w:val="0"/>
        </w:numPr>
        <w:rPr>
          <w:color w:val="0070C0"/>
        </w:rPr>
      </w:pPr>
      <w:r w:rsidRPr="00181C75">
        <w:rPr>
          <w:color w:val="0070C0"/>
        </w:rPr>
        <w:t>voorkomen kan worden dat er nieuwe aanwas komt voor dit delict</w:t>
      </w:r>
      <w:r w:rsidRPr="00181C75">
        <w:rPr>
          <w:color w:val="0070C0"/>
          <w:sz w:val="13"/>
          <w:szCs w:val="13"/>
        </w:rPr>
        <w:t xml:space="preserve"> </w:t>
      </w:r>
      <w:r w:rsidRPr="00181C75">
        <w:rPr>
          <w:color w:val="0070C0"/>
        </w:rPr>
        <w:t xml:space="preserve">en er dan een duurzaam resultaat geboekt kan worden. De Top60 aanpak heeft hierbij een </w:t>
      </w:r>
    </w:p>
    <w:p w14:paraId="4EE8444D" w14:textId="6E5D3052" w:rsidR="00D408CB" w:rsidRPr="00181C75" w:rsidRDefault="00D408CB" w:rsidP="007653A4">
      <w:pPr>
        <w:pStyle w:val="Lijstnummering"/>
        <w:numPr>
          <w:ilvl w:val="0"/>
          <w:numId w:val="0"/>
        </w:numPr>
        <w:rPr>
          <w:color w:val="0070C0"/>
        </w:rPr>
      </w:pPr>
      <w:r w:rsidRPr="00181C75">
        <w:rPr>
          <w:color w:val="0070C0"/>
        </w:rPr>
        <w:t>centrale rol.</w:t>
      </w:r>
    </w:p>
    <w:p w14:paraId="3F91303D" w14:textId="77777777" w:rsidR="00D408CB" w:rsidRPr="00181C75" w:rsidRDefault="00D408CB" w:rsidP="007653A4">
      <w:pPr>
        <w:pStyle w:val="Default"/>
        <w:rPr>
          <w:i/>
          <w:iCs/>
          <w:color w:val="0070C0"/>
          <w:sz w:val="20"/>
          <w:szCs w:val="20"/>
        </w:rPr>
      </w:pPr>
    </w:p>
    <w:p w14:paraId="3FF46E13" w14:textId="77777777" w:rsidR="00D408CB" w:rsidRPr="00181C75" w:rsidRDefault="00D408CB" w:rsidP="007653A4">
      <w:pPr>
        <w:pStyle w:val="Default"/>
        <w:rPr>
          <w:color w:val="0070C0"/>
          <w:sz w:val="20"/>
          <w:szCs w:val="20"/>
        </w:rPr>
      </w:pPr>
      <w:r w:rsidRPr="00181C75">
        <w:rPr>
          <w:i/>
          <w:iCs/>
          <w:color w:val="0070C0"/>
          <w:sz w:val="20"/>
          <w:szCs w:val="20"/>
        </w:rPr>
        <w:t>Zorg en veiligheid</w:t>
      </w:r>
      <w:r w:rsidR="006651BF" w:rsidRPr="00181C75">
        <w:rPr>
          <w:i/>
          <w:iCs/>
          <w:color w:val="0070C0"/>
          <w:sz w:val="20"/>
          <w:szCs w:val="20"/>
        </w:rPr>
        <w:t xml:space="preserve"> m.b.t. jeugdcriminaliteit</w:t>
      </w:r>
      <w:r w:rsidRPr="00181C75">
        <w:rPr>
          <w:i/>
          <w:iCs/>
          <w:color w:val="0070C0"/>
          <w:sz w:val="20"/>
          <w:szCs w:val="20"/>
        </w:rPr>
        <w:t xml:space="preserve"> </w:t>
      </w:r>
    </w:p>
    <w:p w14:paraId="1F2FA78B" w14:textId="3C46B453" w:rsidR="00D408CB" w:rsidRPr="00181C75" w:rsidRDefault="00D408CB" w:rsidP="007653A4">
      <w:pPr>
        <w:pStyle w:val="Default"/>
        <w:rPr>
          <w:color w:val="0070C0"/>
          <w:sz w:val="20"/>
          <w:szCs w:val="20"/>
        </w:rPr>
      </w:pPr>
      <w:r w:rsidRPr="00181C75">
        <w:rPr>
          <w:color w:val="0070C0"/>
          <w:sz w:val="20"/>
          <w:szCs w:val="20"/>
        </w:rPr>
        <w:t>Binnen dit thema is de samenwerking tussen zorg en veiligheid van groot belang. Vanuit veiligheid wordt de noodzaak gezien meer aan de voorkant (lees: preventief) op te treden bij risicojongeren of risicogezinnen en zo veiligheidsproblemen te voorkomen. De pilot met het Preventief Interventie Team (PIT)</w:t>
      </w:r>
      <w:r w:rsidRPr="00181C75">
        <w:rPr>
          <w:color w:val="0070C0"/>
          <w:sz w:val="13"/>
          <w:szCs w:val="13"/>
        </w:rPr>
        <w:t xml:space="preserve"> </w:t>
      </w:r>
      <w:r w:rsidRPr="00181C75">
        <w:rPr>
          <w:color w:val="0070C0"/>
          <w:sz w:val="20"/>
          <w:szCs w:val="20"/>
        </w:rPr>
        <w:t xml:space="preserve">illustreert deze behoefte. Er zijn ook zorgen over </w:t>
      </w:r>
      <w:r w:rsidRPr="00181C75">
        <w:rPr>
          <w:b/>
          <w:bCs/>
          <w:color w:val="0070C0"/>
          <w:sz w:val="20"/>
          <w:szCs w:val="20"/>
        </w:rPr>
        <w:t>kwetsbare jongeren</w:t>
      </w:r>
      <w:r w:rsidRPr="00181C75">
        <w:rPr>
          <w:color w:val="0070C0"/>
          <w:sz w:val="20"/>
          <w:szCs w:val="20"/>
        </w:rPr>
        <w:t xml:space="preserve">, bijvoorbeeld jongeren met een licht verstandelijke beperking (LVB). Dit zijn jongeren die mogelijk in het veiligheidsdomein voor problemen zorgen, maar de aanpak ligt grotendeels in het zorgdomein. Nauwe samenwerking is dus van belang. </w:t>
      </w:r>
    </w:p>
    <w:p w14:paraId="023B54C5" w14:textId="77777777" w:rsidR="00D408CB" w:rsidRPr="00181C75" w:rsidRDefault="00D408CB" w:rsidP="007653A4">
      <w:pPr>
        <w:pStyle w:val="Default"/>
        <w:rPr>
          <w:color w:val="0070C0"/>
          <w:sz w:val="20"/>
          <w:szCs w:val="20"/>
        </w:rPr>
      </w:pPr>
      <w:r w:rsidRPr="00181C75">
        <w:rPr>
          <w:rFonts w:ascii="Wingdings" w:hAnsi="Wingdings" w:cs="Wingdings"/>
          <w:color w:val="0070C0"/>
          <w:sz w:val="20"/>
          <w:szCs w:val="20"/>
        </w:rPr>
        <w:t></w:t>
      </w:r>
      <w:r w:rsidRPr="00181C75">
        <w:rPr>
          <w:rFonts w:ascii="Wingdings" w:hAnsi="Wingdings" w:cs="Wingdings"/>
          <w:color w:val="0070C0"/>
          <w:sz w:val="20"/>
          <w:szCs w:val="20"/>
        </w:rPr>
        <w:t></w:t>
      </w:r>
      <w:r w:rsidRPr="00181C75">
        <w:rPr>
          <w:color w:val="0070C0"/>
          <w:sz w:val="20"/>
          <w:szCs w:val="20"/>
        </w:rPr>
        <w:t xml:space="preserve">Wij adviseren </w:t>
      </w:r>
      <w:r w:rsidRPr="00181C75">
        <w:rPr>
          <w:b/>
          <w:bCs/>
          <w:color w:val="0070C0"/>
          <w:sz w:val="20"/>
          <w:szCs w:val="20"/>
        </w:rPr>
        <w:t xml:space="preserve">jeugdcriminaliteit </w:t>
      </w:r>
      <w:r w:rsidRPr="00181C75">
        <w:rPr>
          <w:color w:val="0070C0"/>
          <w:sz w:val="20"/>
          <w:szCs w:val="20"/>
        </w:rPr>
        <w:t>als prioritair thema te benoemen en daarbij extra a</w:t>
      </w:r>
      <w:r w:rsidR="00F6597E" w:rsidRPr="00181C75">
        <w:rPr>
          <w:color w:val="0070C0"/>
          <w:sz w:val="20"/>
          <w:szCs w:val="20"/>
        </w:rPr>
        <w:t>andacht te geven aan Marokkaans-Nederlandse</w:t>
      </w:r>
      <w:r w:rsidRPr="00181C75">
        <w:rPr>
          <w:color w:val="0070C0"/>
          <w:sz w:val="20"/>
          <w:szCs w:val="20"/>
        </w:rPr>
        <w:t xml:space="preserve"> risicojongeren. We raden hierbij aan het begrip ‘jeugd’ breder te trekken naar in ieder geval 23 jaar. Binnen dit thema zien wij drie prioriteiten: </w:t>
      </w:r>
      <w:r w:rsidRPr="00181C75">
        <w:rPr>
          <w:b/>
          <w:bCs/>
          <w:color w:val="0070C0"/>
          <w:sz w:val="20"/>
          <w:szCs w:val="20"/>
        </w:rPr>
        <w:t>woninginbraken</w:t>
      </w:r>
      <w:r w:rsidRPr="00181C75">
        <w:rPr>
          <w:color w:val="0070C0"/>
          <w:sz w:val="20"/>
          <w:szCs w:val="20"/>
        </w:rPr>
        <w:t xml:space="preserve">, </w:t>
      </w:r>
      <w:r w:rsidRPr="00181C75">
        <w:rPr>
          <w:b/>
          <w:bCs/>
          <w:color w:val="0070C0"/>
          <w:sz w:val="20"/>
          <w:szCs w:val="20"/>
        </w:rPr>
        <w:t xml:space="preserve">drugscriminaliteit </w:t>
      </w:r>
      <w:r w:rsidRPr="00181C75">
        <w:rPr>
          <w:color w:val="0070C0"/>
          <w:sz w:val="20"/>
          <w:szCs w:val="20"/>
        </w:rPr>
        <w:t xml:space="preserve">en </w:t>
      </w:r>
      <w:r w:rsidRPr="00181C75">
        <w:rPr>
          <w:b/>
          <w:bCs/>
          <w:color w:val="0070C0"/>
          <w:sz w:val="20"/>
          <w:szCs w:val="20"/>
        </w:rPr>
        <w:t>radicalisering/polarisatie</w:t>
      </w:r>
      <w:r w:rsidRPr="00181C75">
        <w:rPr>
          <w:color w:val="0070C0"/>
          <w:sz w:val="20"/>
          <w:szCs w:val="20"/>
        </w:rPr>
        <w:t xml:space="preserve">. </w:t>
      </w:r>
    </w:p>
    <w:p w14:paraId="392FB1CE" w14:textId="77777777" w:rsidR="00D408CB" w:rsidRPr="00181C75" w:rsidRDefault="00D408CB" w:rsidP="007653A4">
      <w:pPr>
        <w:pStyle w:val="Lijstnummering"/>
        <w:numPr>
          <w:ilvl w:val="0"/>
          <w:numId w:val="0"/>
        </w:numPr>
        <w:ind w:left="360"/>
        <w:rPr>
          <w:color w:val="0070C0"/>
        </w:rPr>
      </w:pPr>
    </w:p>
    <w:p w14:paraId="75C4F411" w14:textId="77777777" w:rsidR="00D408CB" w:rsidRPr="00181C75" w:rsidRDefault="00D408CB" w:rsidP="007653A4">
      <w:pPr>
        <w:pStyle w:val="Default"/>
        <w:rPr>
          <w:color w:val="0070C0"/>
          <w:sz w:val="26"/>
          <w:szCs w:val="26"/>
        </w:rPr>
      </w:pPr>
      <w:r w:rsidRPr="00181C75">
        <w:rPr>
          <w:color w:val="0070C0"/>
          <w:sz w:val="26"/>
          <w:szCs w:val="26"/>
        </w:rPr>
        <w:t xml:space="preserve">Aanpak ondermijning mét focus </w:t>
      </w:r>
    </w:p>
    <w:p w14:paraId="1FD424EB" w14:textId="227A3940" w:rsidR="00D408CB" w:rsidRPr="00181C75" w:rsidRDefault="00D408CB" w:rsidP="007653A4">
      <w:pPr>
        <w:pStyle w:val="Default"/>
        <w:rPr>
          <w:color w:val="0070C0"/>
          <w:sz w:val="20"/>
          <w:szCs w:val="20"/>
        </w:rPr>
      </w:pPr>
      <w:r w:rsidRPr="00181C75">
        <w:rPr>
          <w:color w:val="0070C0"/>
          <w:sz w:val="20"/>
          <w:szCs w:val="20"/>
        </w:rPr>
        <w:t>Er is geen heldere definitie van het begrip ondermijning. De VNG zegt hierover: ‘</w:t>
      </w:r>
      <w:r w:rsidR="00154F7E">
        <w:rPr>
          <w:color w:val="0070C0"/>
          <w:sz w:val="20"/>
          <w:szCs w:val="20"/>
        </w:rPr>
        <w:t>D</w:t>
      </w:r>
      <w:r w:rsidRPr="00181C75">
        <w:rPr>
          <w:color w:val="0070C0"/>
          <w:sz w:val="20"/>
          <w:szCs w:val="20"/>
        </w:rPr>
        <w:t xml:space="preserve">e meeste gemeenten definiëren ondermijning een stuk breder dan als synoniem voor georganiseerde criminaliteit alleen. Het gaat bij ondermijning juist ook om de netwerken die achter de georganiseerde criminaliteit liggen, de antidemocratische sentimenten in de samenleving, de vermenging van de boven- en onderwereld en de weerbaarheid van de overheid.’ </w:t>
      </w:r>
    </w:p>
    <w:p w14:paraId="2898FED9" w14:textId="77777777" w:rsidR="00D408CB" w:rsidRPr="00181C75" w:rsidRDefault="00D408CB" w:rsidP="007653A4">
      <w:pPr>
        <w:pStyle w:val="Default"/>
        <w:rPr>
          <w:i/>
          <w:iCs/>
          <w:color w:val="0070C0"/>
        </w:rPr>
      </w:pPr>
      <w:r w:rsidRPr="00181C75">
        <w:rPr>
          <w:color w:val="0070C0"/>
          <w:sz w:val="20"/>
          <w:szCs w:val="20"/>
        </w:rPr>
        <w:t>Sinds 2017 is ondermijning in het Actieplan opgenomen als een prioriteit voor de gemeente Gouda. In de afgelopen twee jaar heeft Gouda ondermijning op vier sporen aangepakt. Betrokkenen geven aan dat de aanpak nog relatief pril is en dat er bij de aanpak van ondermijning een lange adem nodig is. Daarom is extra aandacht de komende jaren noodzakelijk.</w:t>
      </w:r>
      <w:r w:rsidRPr="00181C75">
        <w:rPr>
          <w:i/>
          <w:iCs/>
          <w:color w:val="0070C0"/>
        </w:rPr>
        <w:t xml:space="preserve"> </w:t>
      </w:r>
    </w:p>
    <w:p w14:paraId="10759C82" w14:textId="77777777" w:rsidR="00D408CB" w:rsidRPr="00181C75" w:rsidRDefault="00D408CB" w:rsidP="007653A4">
      <w:pPr>
        <w:pStyle w:val="Default"/>
        <w:rPr>
          <w:i/>
          <w:iCs/>
          <w:color w:val="0070C0"/>
        </w:rPr>
      </w:pPr>
    </w:p>
    <w:p w14:paraId="0B01DA42" w14:textId="77777777" w:rsidR="00D408CB" w:rsidRPr="00181C75" w:rsidRDefault="00D408CB" w:rsidP="007653A4">
      <w:pPr>
        <w:pStyle w:val="Default"/>
        <w:rPr>
          <w:color w:val="0070C0"/>
          <w:sz w:val="20"/>
          <w:szCs w:val="20"/>
        </w:rPr>
      </w:pPr>
      <w:r w:rsidRPr="00181C75">
        <w:rPr>
          <w:i/>
          <w:iCs/>
          <w:color w:val="0070C0"/>
          <w:sz w:val="20"/>
          <w:szCs w:val="20"/>
        </w:rPr>
        <w:t xml:space="preserve">Zorg en veiligheid </w:t>
      </w:r>
      <w:r w:rsidR="006651BF" w:rsidRPr="00181C75">
        <w:rPr>
          <w:i/>
          <w:iCs/>
          <w:color w:val="0070C0"/>
          <w:sz w:val="20"/>
          <w:szCs w:val="20"/>
        </w:rPr>
        <w:t>i.r.t. ondermijning</w:t>
      </w:r>
    </w:p>
    <w:p w14:paraId="611EBDD6" w14:textId="7F80ABAA" w:rsidR="00D408CB" w:rsidRPr="00181C75" w:rsidRDefault="00D408CB" w:rsidP="007653A4">
      <w:pPr>
        <w:pStyle w:val="Default"/>
        <w:rPr>
          <w:color w:val="0070C0"/>
          <w:sz w:val="20"/>
          <w:szCs w:val="20"/>
        </w:rPr>
      </w:pPr>
      <w:r w:rsidRPr="00181C75">
        <w:rPr>
          <w:color w:val="0070C0"/>
          <w:sz w:val="20"/>
          <w:szCs w:val="20"/>
        </w:rPr>
        <w:t xml:space="preserve">Er bestaan veel verhalen over criminele netwerken die (kwetsbare) groepen in de samenleving beïnvloeden, mede door in ‘het gat’ te springen dat de terugtrekkende verzorgingsstaat achterlaat. Burgers voelen zich in de steek gelaten en zijn vatbaar voor de invloed van criminele netwerken. Het sociaal domein heeft op verschillende manieren te maken met ondermijning, bijvoorbeeld met fraude, maar ook ligt er een rol bij het voorkomen dat mensen zich door de overheid in de steek gelaten voelen. </w:t>
      </w:r>
    </w:p>
    <w:p w14:paraId="7365ACDB" w14:textId="77777777" w:rsidR="00D408CB" w:rsidRPr="00181C75" w:rsidRDefault="00D408CB" w:rsidP="007653A4">
      <w:pPr>
        <w:pStyle w:val="Default"/>
        <w:rPr>
          <w:color w:val="0070C0"/>
          <w:sz w:val="20"/>
          <w:szCs w:val="20"/>
        </w:rPr>
      </w:pPr>
      <w:r w:rsidRPr="00181C75">
        <w:rPr>
          <w:rFonts w:ascii="Wingdings" w:hAnsi="Wingdings" w:cs="Wingdings"/>
          <w:color w:val="0070C0"/>
          <w:sz w:val="20"/>
          <w:szCs w:val="20"/>
        </w:rPr>
        <w:t></w:t>
      </w:r>
      <w:r w:rsidRPr="00181C75">
        <w:rPr>
          <w:rFonts w:ascii="Wingdings" w:hAnsi="Wingdings" w:cs="Wingdings"/>
          <w:color w:val="0070C0"/>
          <w:sz w:val="20"/>
          <w:szCs w:val="20"/>
        </w:rPr>
        <w:t></w:t>
      </w:r>
      <w:r w:rsidRPr="00181C75">
        <w:rPr>
          <w:b/>
          <w:bCs/>
          <w:color w:val="0070C0"/>
          <w:sz w:val="20"/>
          <w:szCs w:val="20"/>
        </w:rPr>
        <w:t xml:space="preserve">Ondermijning </w:t>
      </w:r>
      <w:r w:rsidRPr="00181C75">
        <w:rPr>
          <w:color w:val="0070C0"/>
          <w:sz w:val="20"/>
          <w:szCs w:val="20"/>
        </w:rPr>
        <w:t xml:space="preserve">blijft prioriteit. De vier sporen geven focus aan de aanpak en worden behouden. Daarbij wordt expliciet de relatie gelegd met jeugdcriminaliteit. </w:t>
      </w:r>
    </w:p>
    <w:p w14:paraId="1EA53FE7" w14:textId="77777777" w:rsidR="00D408CB" w:rsidRPr="00181C75" w:rsidRDefault="00D408CB" w:rsidP="007653A4">
      <w:pPr>
        <w:pStyle w:val="Lijstnummering"/>
        <w:numPr>
          <w:ilvl w:val="0"/>
          <w:numId w:val="0"/>
        </w:numPr>
        <w:ind w:left="360"/>
        <w:rPr>
          <w:color w:val="0070C0"/>
        </w:rPr>
      </w:pPr>
    </w:p>
    <w:p w14:paraId="44913B96" w14:textId="77777777" w:rsidR="00D408CB" w:rsidRPr="00181C75" w:rsidRDefault="00D408CB" w:rsidP="007653A4">
      <w:pPr>
        <w:pStyle w:val="Default"/>
        <w:rPr>
          <w:color w:val="0070C0"/>
          <w:sz w:val="26"/>
          <w:szCs w:val="26"/>
        </w:rPr>
      </w:pPr>
      <w:r w:rsidRPr="00181C75">
        <w:rPr>
          <w:color w:val="0070C0"/>
          <w:sz w:val="26"/>
          <w:szCs w:val="26"/>
        </w:rPr>
        <w:t xml:space="preserve">Aanpak sociale overlast </w:t>
      </w:r>
    </w:p>
    <w:p w14:paraId="12A7CBF3" w14:textId="77777777" w:rsidR="00D408CB" w:rsidRPr="00181C75" w:rsidRDefault="00D408CB" w:rsidP="007653A4">
      <w:pPr>
        <w:pStyle w:val="Default"/>
        <w:rPr>
          <w:color w:val="0070C0"/>
          <w:sz w:val="20"/>
          <w:szCs w:val="20"/>
        </w:rPr>
      </w:pPr>
      <w:r w:rsidRPr="00181C75">
        <w:rPr>
          <w:color w:val="0070C0"/>
          <w:sz w:val="20"/>
          <w:szCs w:val="20"/>
        </w:rPr>
        <w:t xml:space="preserve">De </w:t>
      </w:r>
      <w:proofErr w:type="spellStart"/>
      <w:r w:rsidRPr="00181C75">
        <w:rPr>
          <w:color w:val="0070C0"/>
          <w:sz w:val="20"/>
          <w:szCs w:val="20"/>
        </w:rPr>
        <w:t>ambulantisering</w:t>
      </w:r>
      <w:proofErr w:type="spellEnd"/>
      <w:r w:rsidRPr="00181C75">
        <w:rPr>
          <w:color w:val="0070C0"/>
          <w:sz w:val="20"/>
          <w:szCs w:val="20"/>
        </w:rPr>
        <w:t xml:space="preserve"> van de zorg heeft landelijk als gevolg dat er steeds meer </w:t>
      </w:r>
      <w:r w:rsidRPr="00181C75">
        <w:rPr>
          <w:b/>
          <w:bCs/>
          <w:color w:val="0070C0"/>
          <w:sz w:val="20"/>
          <w:szCs w:val="20"/>
        </w:rPr>
        <w:t xml:space="preserve">kwetsbare doelgroepen </w:t>
      </w:r>
      <w:r w:rsidRPr="00181C75">
        <w:rPr>
          <w:color w:val="0070C0"/>
          <w:sz w:val="20"/>
          <w:szCs w:val="20"/>
        </w:rPr>
        <w:t xml:space="preserve">(denk hierbij aan </w:t>
      </w:r>
      <w:r w:rsidRPr="00181C75">
        <w:rPr>
          <w:b/>
          <w:bCs/>
          <w:color w:val="0070C0"/>
          <w:sz w:val="20"/>
          <w:szCs w:val="20"/>
        </w:rPr>
        <w:t>personen met verward gedrag</w:t>
      </w:r>
      <w:r w:rsidRPr="00181C75">
        <w:rPr>
          <w:color w:val="0070C0"/>
          <w:sz w:val="20"/>
          <w:szCs w:val="20"/>
        </w:rPr>
        <w:t xml:space="preserve">, ouderen, dak- en thuislozen, statushouders, personen met een verslaving en </w:t>
      </w:r>
      <w:proofErr w:type="spellStart"/>
      <w:r w:rsidRPr="00181C75">
        <w:rPr>
          <w:color w:val="0070C0"/>
          <w:sz w:val="20"/>
          <w:szCs w:val="20"/>
        </w:rPr>
        <w:t>zorgmijders</w:t>
      </w:r>
      <w:proofErr w:type="spellEnd"/>
      <w:r w:rsidRPr="00181C75">
        <w:rPr>
          <w:color w:val="0070C0"/>
          <w:sz w:val="20"/>
          <w:szCs w:val="20"/>
        </w:rPr>
        <w:t xml:space="preserve">) in de wijken wonen. Hierdoor neemt de kans op sociale overlast, waaronder </w:t>
      </w:r>
      <w:r w:rsidRPr="00181C75">
        <w:rPr>
          <w:b/>
          <w:bCs/>
          <w:color w:val="0070C0"/>
          <w:sz w:val="20"/>
          <w:szCs w:val="20"/>
        </w:rPr>
        <w:t>woonoverlast</w:t>
      </w:r>
      <w:r w:rsidRPr="00181C75">
        <w:rPr>
          <w:color w:val="0070C0"/>
          <w:sz w:val="20"/>
          <w:szCs w:val="20"/>
        </w:rPr>
        <w:t xml:space="preserve">, toe. Omdat dit gaat om overlast in of nabij de eigen woning is dit voor de slachtoffers vaak ook ingrijpend. In Gouda zijn de meldingen van burenruzies en conflictbemiddeling het afgelopen jaar toegenomen. De (ervaren) toename van Oost-Europese migranten en bijhorende woonoverlast draagt hier mogelijk aan bij. </w:t>
      </w:r>
    </w:p>
    <w:p w14:paraId="4A47F6AE" w14:textId="77777777" w:rsidR="00C125EA" w:rsidRPr="00181C75" w:rsidRDefault="00C125EA" w:rsidP="007653A4">
      <w:pPr>
        <w:pStyle w:val="Default"/>
        <w:rPr>
          <w:color w:val="0070C0"/>
          <w:sz w:val="20"/>
          <w:szCs w:val="20"/>
        </w:rPr>
      </w:pPr>
    </w:p>
    <w:p w14:paraId="45CF3D0A" w14:textId="77777777" w:rsidR="00D408CB" w:rsidRPr="00181C75" w:rsidRDefault="00D408CB" w:rsidP="007653A4">
      <w:pPr>
        <w:pStyle w:val="Default"/>
        <w:rPr>
          <w:color w:val="0070C0"/>
          <w:sz w:val="20"/>
          <w:szCs w:val="20"/>
        </w:rPr>
      </w:pPr>
      <w:r w:rsidRPr="00181C75">
        <w:rPr>
          <w:i/>
          <w:iCs/>
          <w:color w:val="0070C0"/>
          <w:sz w:val="20"/>
          <w:szCs w:val="20"/>
        </w:rPr>
        <w:t xml:space="preserve">Zorg en veiligheid </w:t>
      </w:r>
      <w:r w:rsidR="00C125EA" w:rsidRPr="00181C75">
        <w:rPr>
          <w:i/>
          <w:iCs/>
          <w:color w:val="0070C0"/>
          <w:sz w:val="20"/>
          <w:szCs w:val="20"/>
        </w:rPr>
        <w:t xml:space="preserve">i.r.t. sociale overlast </w:t>
      </w:r>
    </w:p>
    <w:p w14:paraId="3A657B94" w14:textId="77777777" w:rsidR="00D408CB" w:rsidRPr="00181C75" w:rsidRDefault="00D408CB" w:rsidP="007653A4">
      <w:pPr>
        <w:pStyle w:val="Default"/>
        <w:rPr>
          <w:color w:val="0070C0"/>
          <w:sz w:val="20"/>
          <w:szCs w:val="20"/>
        </w:rPr>
      </w:pPr>
      <w:r w:rsidRPr="00181C75">
        <w:rPr>
          <w:color w:val="0070C0"/>
          <w:sz w:val="20"/>
          <w:szCs w:val="20"/>
        </w:rPr>
        <w:t xml:space="preserve">Ook in dit thema komen het veiligheidsdomein en het sociaal domein samen. Gevaarlijke situaties en andere incidenten worden door de afdeling veiligheid opgepakt, hierdoor heeft de afdeling een actieve signaalfunctie richting de rest van de organisatie. Door het thema sociale overlast </w:t>
      </w:r>
      <w:r w:rsidR="0040059C" w:rsidRPr="00181C75">
        <w:rPr>
          <w:color w:val="0070C0"/>
          <w:sz w:val="20"/>
          <w:szCs w:val="20"/>
        </w:rPr>
        <w:t xml:space="preserve">ook in het veiligheidsdomein </w:t>
      </w:r>
      <w:r w:rsidRPr="00181C75">
        <w:rPr>
          <w:color w:val="0070C0"/>
          <w:sz w:val="20"/>
          <w:szCs w:val="20"/>
        </w:rPr>
        <w:t xml:space="preserve">tot prioriteit te benoemen moet er ruimte ontstaan om de samenwerking tussen zorg en veiligheid zowel op wijk- als op stedelijk niveau te intensiveren. </w:t>
      </w:r>
    </w:p>
    <w:p w14:paraId="34D444F0" w14:textId="0C598310" w:rsidR="00137E4D" w:rsidRPr="007C5E63" w:rsidRDefault="00D408CB" w:rsidP="007653A4">
      <w:pPr>
        <w:pStyle w:val="Default"/>
        <w:rPr>
          <w:color w:val="0070C0"/>
          <w:sz w:val="20"/>
          <w:szCs w:val="20"/>
        </w:rPr>
      </w:pPr>
      <w:r w:rsidRPr="00181C75">
        <w:rPr>
          <w:rFonts w:ascii="Wingdings" w:hAnsi="Wingdings" w:cs="Wingdings"/>
          <w:color w:val="0070C0"/>
          <w:sz w:val="20"/>
          <w:szCs w:val="20"/>
        </w:rPr>
        <w:t></w:t>
      </w:r>
      <w:r w:rsidRPr="00181C75">
        <w:rPr>
          <w:rFonts w:ascii="Wingdings" w:hAnsi="Wingdings" w:cs="Wingdings"/>
          <w:color w:val="0070C0"/>
          <w:sz w:val="20"/>
          <w:szCs w:val="20"/>
        </w:rPr>
        <w:t></w:t>
      </w:r>
      <w:r w:rsidRPr="00181C75">
        <w:rPr>
          <w:color w:val="0070C0"/>
          <w:sz w:val="20"/>
          <w:szCs w:val="20"/>
        </w:rPr>
        <w:t xml:space="preserve">Ons advies is </w:t>
      </w:r>
      <w:r w:rsidRPr="00181C75">
        <w:rPr>
          <w:b/>
          <w:bCs/>
          <w:color w:val="0070C0"/>
          <w:sz w:val="20"/>
          <w:szCs w:val="20"/>
        </w:rPr>
        <w:t xml:space="preserve">sociale overlast </w:t>
      </w:r>
      <w:r w:rsidRPr="00181C75">
        <w:rPr>
          <w:color w:val="0070C0"/>
          <w:sz w:val="20"/>
          <w:szCs w:val="20"/>
        </w:rPr>
        <w:t xml:space="preserve">tot prioriteit te benoemen. </w:t>
      </w:r>
    </w:p>
    <w:p w14:paraId="4E657D4F" w14:textId="65263059" w:rsidR="00137E4D" w:rsidRDefault="001B3EA2" w:rsidP="007653A4">
      <w:pPr>
        <w:pStyle w:val="Itemsnrsniveau1"/>
        <w:ind w:firstLine="0"/>
      </w:pPr>
      <w:bookmarkStart w:id="10" w:name="_Toc531857281"/>
      <w:r>
        <w:rPr>
          <w:noProof/>
          <w:lang w:eastAsia="nl-NL"/>
        </w:rPr>
        <mc:AlternateContent>
          <mc:Choice Requires="wpg">
            <w:drawing>
              <wp:anchor distT="0" distB="0" distL="114300" distR="114300" simplePos="0" relativeHeight="251676672" behindDoc="0" locked="0" layoutInCell="1" allowOverlap="1" wp14:anchorId="05145D81" wp14:editId="550F8944">
                <wp:simplePos x="0" y="0"/>
                <wp:positionH relativeFrom="column">
                  <wp:posOffset>4366895</wp:posOffset>
                </wp:positionH>
                <wp:positionV relativeFrom="paragraph">
                  <wp:posOffset>3810</wp:posOffset>
                </wp:positionV>
                <wp:extent cx="5014595" cy="4695825"/>
                <wp:effectExtent l="19050" t="0" r="0" b="0"/>
                <wp:wrapSquare wrapText="bothSides"/>
                <wp:docPr id="7" name="Groep 7"/>
                <wp:cNvGraphicFramePr/>
                <a:graphic xmlns:a="http://schemas.openxmlformats.org/drawingml/2006/main">
                  <a:graphicData uri="http://schemas.microsoft.com/office/word/2010/wordprocessingGroup">
                    <wpg:wgp>
                      <wpg:cNvGrpSpPr/>
                      <wpg:grpSpPr>
                        <a:xfrm>
                          <a:off x="0" y="0"/>
                          <a:ext cx="5014595" cy="4695825"/>
                          <a:chOff x="0" y="0"/>
                          <a:chExt cx="4519887" cy="4143375"/>
                        </a:xfrm>
                      </wpg:grpSpPr>
                      <wps:wsp>
                        <wps:cNvPr id="8" name="Ovaal 8"/>
                        <wps:cNvSpPr/>
                        <wps:spPr>
                          <a:xfrm>
                            <a:off x="1395413" y="0"/>
                            <a:ext cx="1409700" cy="214312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al 10"/>
                        <wps:cNvSpPr/>
                        <wps:spPr>
                          <a:xfrm rot="2034971">
                            <a:off x="804863" y="2000250"/>
                            <a:ext cx="1409700" cy="2143125"/>
                          </a:xfrm>
                          <a:prstGeom prst="ellipse">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al 11"/>
                        <wps:cNvSpPr/>
                        <wps:spPr>
                          <a:xfrm rot="19632111">
                            <a:off x="2043113" y="2000250"/>
                            <a:ext cx="1409700" cy="2143125"/>
                          </a:xfrm>
                          <a:prstGeom prst="ellipse">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al 12"/>
                        <wps:cNvSpPr/>
                        <wps:spPr>
                          <a:xfrm rot="17327065">
                            <a:off x="366713" y="781050"/>
                            <a:ext cx="1409700" cy="2143125"/>
                          </a:xfrm>
                          <a:prstGeom prst="ellipse">
                            <a:avLst/>
                          </a:prstGeom>
                          <a:gradFill>
                            <a:gsLst>
                              <a:gs pos="0">
                                <a:srgbClr val="FF0000"/>
                              </a:gs>
                              <a:gs pos="32000">
                                <a:schemeClr val="accent2">
                                  <a:tint val="37000"/>
                                  <a:satMod val="300000"/>
                                </a:schemeClr>
                              </a:gs>
                              <a:gs pos="100000">
                                <a:schemeClr val="accent2">
                                  <a:tint val="15000"/>
                                  <a:satMod val="350000"/>
                                </a:schemeClr>
                              </a:gs>
                            </a:gsLst>
                          </a:gra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al 13"/>
                        <wps:cNvSpPr/>
                        <wps:spPr>
                          <a:xfrm rot="4040033">
                            <a:off x="2433638" y="695325"/>
                            <a:ext cx="1409700" cy="21431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kstvak 16"/>
                        <wps:cNvSpPr txBox="1"/>
                        <wps:spPr>
                          <a:xfrm>
                            <a:off x="1443038" y="638175"/>
                            <a:ext cx="1524000" cy="533400"/>
                          </a:xfrm>
                          <a:prstGeom prst="rect">
                            <a:avLst/>
                          </a:prstGeom>
                          <a:noFill/>
                          <a:ln w="6350">
                            <a:noFill/>
                          </a:ln>
                          <a:effectLst/>
                        </wps:spPr>
                        <wps:txbx>
                          <w:txbxContent>
                            <w:p w14:paraId="570B780F" w14:textId="77777777" w:rsidR="002036F8" w:rsidRPr="00FA6674" w:rsidRDefault="002036F8" w:rsidP="00884B6A">
                              <w:pPr>
                                <w:rPr>
                                  <w:rFonts w:cs="Arial"/>
                                  <w:b/>
                                  <w:sz w:val="24"/>
                                  <w:szCs w:val="24"/>
                                  <w:lang w:val="en-US"/>
                                </w:rPr>
                              </w:pPr>
                              <w:proofErr w:type="spellStart"/>
                              <w:r w:rsidRPr="00FA6674">
                                <w:rPr>
                                  <w:rFonts w:cs="Arial"/>
                                  <w:b/>
                                  <w:sz w:val="24"/>
                                  <w:szCs w:val="24"/>
                                  <w:lang w:val="en-US"/>
                                </w:rPr>
                                <w:t>Sociale</w:t>
                              </w:r>
                              <w:proofErr w:type="spellEnd"/>
                              <w:r w:rsidRPr="00FA6674">
                                <w:rPr>
                                  <w:rFonts w:cs="Arial"/>
                                  <w:b/>
                                  <w:sz w:val="24"/>
                                  <w:szCs w:val="24"/>
                                  <w:lang w:val="en-US"/>
                                </w:rPr>
                                <w:t xml:space="preserve"> </w:t>
                              </w:r>
                              <w:proofErr w:type="spellStart"/>
                              <w:r w:rsidRPr="00FA6674">
                                <w:rPr>
                                  <w:rFonts w:cs="Arial"/>
                                  <w:b/>
                                  <w:sz w:val="24"/>
                                  <w:szCs w:val="24"/>
                                  <w:lang w:val="en-US"/>
                                </w:rPr>
                                <w:t>overlast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kstvak 17"/>
                        <wps:cNvSpPr txBox="1"/>
                        <wps:spPr>
                          <a:xfrm>
                            <a:off x="2995887" y="1520979"/>
                            <a:ext cx="1524000" cy="533400"/>
                          </a:xfrm>
                          <a:prstGeom prst="rect">
                            <a:avLst/>
                          </a:prstGeom>
                          <a:noFill/>
                          <a:ln w="6350">
                            <a:noFill/>
                          </a:ln>
                          <a:effectLst/>
                        </wps:spPr>
                        <wps:txbx>
                          <w:txbxContent>
                            <w:p w14:paraId="0935E3C5" w14:textId="77777777" w:rsidR="002036F8" w:rsidRPr="00FA6674" w:rsidRDefault="002036F8" w:rsidP="00884B6A">
                              <w:pPr>
                                <w:rPr>
                                  <w:rFonts w:cs="Arial"/>
                                  <w:b/>
                                  <w:sz w:val="24"/>
                                  <w:szCs w:val="24"/>
                                  <w:lang w:val="en-US"/>
                                </w:rPr>
                              </w:pPr>
                              <w:proofErr w:type="spellStart"/>
                              <w:r>
                                <w:rPr>
                                  <w:rFonts w:cs="Arial"/>
                                  <w:b/>
                                  <w:sz w:val="24"/>
                                  <w:szCs w:val="24"/>
                                  <w:lang w:val="en-US"/>
                                </w:rPr>
                                <w:t>Ondermijning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Ovaal 18"/>
                        <wps:cNvSpPr/>
                        <wps:spPr>
                          <a:xfrm>
                            <a:off x="1314406" y="1209724"/>
                            <a:ext cx="1709919" cy="1638300"/>
                          </a:xfrm>
                          <a:prstGeom prst="ellipse">
                            <a:avLst/>
                          </a:prstGeom>
                          <a:solidFill>
                            <a:schemeClr val="accent2">
                              <a:alpha val="69804"/>
                            </a:scheme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19"/>
                        <wps:cNvSpPr txBox="1"/>
                        <wps:spPr>
                          <a:xfrm>
                            <a:off x="2173647" y="3038524"/>
                            <a:ext cx="1524000" cy="533400"/>
                          </a:xfrm>
                          <a:prstGeom prst="rect">
                            <a:avLst/>
                          </a:prstGeom>
                          <a:noFill/>
                          <a:ln w="6350">
                            <a:noFill/>
                          </a:ln>
                          <a:effectLst/>
                        </wps:spPr>
                        <wps:txbx>
                          <w:txbxContent>
                            <w:p w14:paraId="1CA4FFFC" w14:textId="6FBBEAF6" w:rsidR="002036F8" w:rsidRPr="00FA6674" w:rsidRDefault="002036F8" w:rsidP="00884B6A">
                              <w:pPr>
                                <w:rPr>
                                  <w:rFonts w:cs="Arial"/>
                                  <w:b/>
                                  <w:sz w:val="24"/>
                                  <w:szCs w:val="24"/>
                                  <w:lang w:val="en-US"/>
                                </w:rPr>
                              </w:pPr>
                              <w:proofErr w:type="spellStart"/>
                              <w:r>
                                <w:rPr>
                                  <w:rFonts w:cs="Arial"/>
                                  <w:b/>
                                  <w:sz w:val="24"/>
                                  <w:szCs w:val="24"/>
                                  <w:lang w:val="en-US"/>
                                </w:rPr>
                                <w:t>Radicalisering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kstvak 20"/>
                        <wps:cNvSpPr txBox="1"/>
                        <wps:spPr>
                          <a:xfrm>
                            <a:off x="680947" y="3059571"/>
                            <a:ext cx="1524000" cy="533400"/>
                          </a:xfrm>
                          <a:prstGeom prst="rect">
                            <a:avLst/>
                          </a:prstGeom>
                          <a:noFill/>
                          <a:ln w="6350">
                            <a:noFill/>
                          </a:ln>
                          <a:effectLst/>
                        </wps:spPr>
                        <wps:txbx>
                          <w:txbxContent>
                            <w:p w14:paraId="09F01D71" w14:textId="468CE07D" w:rsidR="002036F8" w:rsidRPr="00FA6674" w:rsidRDefault="002036F8" w:rsidP="00884B6A">
                              <w:pPr>
                                <w:rPr>
                                  <w:rFonts w:cs="Arial"/>
                                  <w:b/>
                                  <w:sz w:val="24"/>
                                  <w:szCs w:val="24"/>
                                  <w:lang w:val="en-US"/>
                                </w:rPr>
                              </w:pPr>
                              <w:proofErr w:type="spellStart"/>
                              <w:r>
                                <w:rPr>
                                  <w:rFonts w:cs="Arial"/>
                                  <w:b/>
                                  <w:sz w:val="24"/>
                                  <w:szCs w:val="24"/>
                                  <w:lang w:val="en-US"/>
                                </w:rPr>
                                <w:t>Woninginbraken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kstvak 21"/>
                        <wps:cNvSpPr txBox="1"/>
                        <wps:spPr>
                          <a:xfrm>
                            <a:off x="63894" y="1609725"/>
                            <a:ext cx="1524000" cy="533400"/>
                          </a:xfrm>
                          <a:prstGeom prst="rect">
                            <a:avLst/>
                          </a:prstGeom>
                          <a:noFill/>
                          <a:ln w="6350">
                            <a:noFill/>
                          </a:ln>
                          <a:effectLst/>
                        </wps:spPr>
                        <wps:txbx>
                          <w:txbxContent>
                            <w:p w14:paraId="0F038CB0" w14:textId="13C96AEA" w:rsidR="002036F8" w:rsidRPr="00FA6674" w:rsidRDefault="002036F8" w:rsidP="00884B6A">
                              <w:pPr>
                                <w:rPr>
                                  <w:rFonts w:cs="Arial"/>
                                  <w:b/>
                                  <w:sz w:val="24"/>
                                  <w:szCs w:val="24"/>
                                  <w:lang w:val="en-US"/>
                                </w:rPr>
                              </w:pPr>
                              <w:proofErr w:type="spellStart"/>
                              <w:r>
                                <w:rPr>
                                  <w:rFonts w:cs="Arial"/>
                                  <w:b/>
                                  <w:sz w:val="24"/>
                                  <w:szCs w:val="24"/>
                                  <w:lang w:val="en-US"/>
                                </w:rPr>
                                <w:t>Drugscriminaliteit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kstvak 22"/>
                        <wps:cNvSpPr txBox="1"/>
                        <wps:spPr>
                          <a:xfrm>
                            <a:off x="1443038" y="1771650"/>
                            <a:ext cx="1524000" cy="914400"/>
                          </a:xfrm>
                          <a:prstGeom prst="rect">
                            <a:avLst/>
                          </a:prstGeom>
                          <a:noFill/>
                          <a:ln w="6350">
                            <a:noFill/>
                          </a:ln>
                          <a:effectLst/>
                        </wps:spPr>
                        <wps:txbx>
                          <w:txbxContent>
                            <w:p w14:paraId="226D99DC" w14:textId="77777777" w:rsidR="002036F8" w:rsidRPr="00884B6A" w:rsidRDefault="002036F8" w:rsidP="00884B6A">
                              <w:pPr>
                                <w:rPr>
                                  <w:rFonts w:cs="Arial"/>
                                  <w:b/>
                                  <w:sz w:val="24"/>
                                  <w:szCs w:val="24"/>
                                </w:rPr>
                              </w:pPr>
                              <w:r w:rsidRPr="00884B6A">
                                <w:rPr>
                                  <w:rFonts w:cs="Arial"/>
                                  <w:b/>
                                  <w:sz w:val="24"/>
                                  <w:szCs w:val="24"/>
                                </w:rPr>
                                <w:t>Thema overstijgend:</w:t>
                              </w:r>
                            </w:p>
                            <w:p w14:paraId="61B463D6" w14:textId="77777777" w:rsidR="002036F8" w:rsidRPr="00884B6A" w:rsidRDefault="002036F8" w:rsidP="00884B6A">
                              <w:pPr>
                                <w:rPr>
                                  <w:rFonts w:cs="Arial"/>
                                  <w:b/>
                                  <w:sz w:val="24"/>
                                  <w:szCs w:val="24"/>
                                </w:rPr>
                              </w:pPr>
                              <w:r w:rsidRPr="00884B6A">
                                <w:rPr>
                                  <w:rFonts w:cs="Arial"/>
                                  <w:b/>
                                  <w:sz w:val="24"/>
                                  <w:szCs w:val="24"/>
                                </w:rPr>
                                <w:t>Jeugd, zorg en veiligheid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7" o:spid="_x0000_s1029" style="position:absolute;left:0;text-align:left;margin-left:343.85pt;margin-top:.3pt;width:394.85pt;height:369.75pt;z-index:251676672;mso-width-relative:margin;mso-height-relative:margin" coordsize="45198,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">
                <v:oval id="Ovaal 8" o:spid="_x0000_s1030" style="position:absolute;left:13954;width:14097;height:2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oval id="Ovaal 10" o:spid="_x0000_s1031" style="position:absolute;left:8048;top:20002;width:14097;height:21431;rotation:22227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aGMQA&#10;AADbAAAADwAAAGRycy9kb3ducmV2LnhtbESPT2sCMRDF74V+hzAFbzVrQZGtUYpQKCIV/1y8DZtx&#10;s7iZbJO4rt++cyj0NsN7895vFqvBt6qnmJrABibjAhRxFWzDtYHT8fN1DiplZIttYDLwoASr5fPT&#10;Aksb7ryn/pBrJSGcSjTgcu5KrVPlyGMah45YtEuIHrOssdY24l3CfavfimKmPTYsDQ47Wjuqroeb&#10;NzDfTulIeNlt+vR93d5+ztHtO2NGL8PHO6hMQ/43/11/Wc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WhjEAAAA2w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oval>
                <v:oval id="Ovaal 11" o:spid="_x0000_s1032" style="position:absolute;left:20431;top:20002;width:14097;height:21431;rotation:-21494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8+8AA&#10;AADbAAAADwAAAGRycy9kb3ducmV2LnhtbERPTYvCMBC9L/gfwgje1lRlF6lGUUHooQhWD3obmrEt&#10;NpPSxFr/vVkQ9jaP9znLdW9q0VHrKssKJuMIBHFudcWFgvNp/z0H4TyyxtoyKXiRg/Vq8LXEWNsn&#10;H6nLfCFCCLsYFZTeN7GULi/JoBvbhjhwN9sa9AG2hdQtPkO4qeU0in6lwYpDQ4kN7UrK79nDKMi3&#10;SbZPL4efJunS62XjOJ3JmVKjYb9ZgPDU+3/xx53oMH8Cf7+E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I8+8AAAADb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oval>
                <v:oval id="Ovaal 12" o:spid="_x0000_s1033" style="position:absolute;left:3667;top:7810;width:14097;height:21431;rotation:-4667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QbsEA&#10;AADbAAAADwAAAGRycy9kb3ducmV2LnhtbERP24rCMBB9F/Yfwiz4ImuqsCLVWERQBEFYLfo620wv&#10;tJmUJmr9e7Ow4NscznWWSW8acafOVZYVTMYRCOLM6ooLBel5+zUH4TyyxsYyKXiSg2T1MVhirO2D&#10;f+h+8oUIIexiVFB638ZSuqwkg25sW+LA5bYz6APsCqk7fIRw08hpFM2kwYpDQ4ktbUrK6tPNKPi2&#10;m2J/xd/8eKnNwaaHXTrKL0oNP/v1AoSn3r/F/+69DvOn8PdLO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G7BAAAA2wAAAA8AAAAAAAAAAAAAAAAAmAIAAGRycy9kb3du&#10;cmV2LnhtbFBLBQYAAAAABAAEAPUAAACGAwAAAAA=&#10;" fillcolor="red" strokecolor="#bc4542 [3045]">
                  <v:fill color2="#f5e4e4 [501]" rotate="t" angle="180" colors="0 red;20972f #ffbebd;1 #ffe5e5" focus="100%" type="gradient"/>
                  <v:shadow on="t" color="black" opacity="24903f" origin=",.5" offset="0,.55556mm"/>
                </v:oval>
                <v:oval id="Ovaal 13" o:spid="_x0000_s1034" style="position:absolute;left:24336;top:6953;width:14097;height:21431;rotation:44127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Si8IA&#10;AADbAAAADwAAAGRycy9kb3ducmV2LnhtbERPS2vCQBC+C/6HZYTedJMWtaTZhFAqbY8+qtchO3nQ&#10;7Gya3Wr8992C4G0+vuek+Wg6cabBtZYVxIsIBHFpdcu1gsN+M38G4Tyyxs4yKbiSgzybTlJMtL3w&#10;ls47X4sQwi5BBY33fSKlKxsy6Ba2Jw5cZQeDPsChlnrASwg3nXyMopU02HJoaLCn14bK792vUfD2&#10;td78FOsrL+n0Wb0fbbfyy1iph9lYvIDwNPq7+Ob+0GH+E/z/Eg6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5KLwgAAANsAAAAPAAAAAAAAAAAAAAAAAJgCAABkcnMvZG93&#10;bnJldi54bWxQSwUGAAAAAAQABAD1AAAAhwMAAAAA&#10;" fillcolor="#9bbb59 [3206]" strokecolor="#4e6128 [1606]" strokeweight="2pt"/>
                <v:shape id="Tekstvak 16" o:spid="_x0000_s1035" type="#_x0000_t202" style="position:absolute;left:14430;top:6381;width:15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570B780F" w14:textId="77777777" w:rsidR="002036F8" w:rsidRPr="00FA6674" w:rsidRDefault="002036F8" w:rsidP="00884B6A">
                        <w:pPr>
                          <w:rPr>
                            <w:rFonts w:cs="Arial"/>
                            <w:b/>
                            <w:sz w:val="24"/>
                            <w:szCs w:val="24"/>
                            <w:lang w:val="en-US"/>
                          </w:rPr>
                        </w:pPr>
                        <w:proofErr w:type="spellStart"/>
                        <w:r w:rsidRPr="00FA6674">
                          <w:rPr>
                            <w:rFonts w:cs="Arial"/>
                            <w:b/>
                            <w:sz w:val="24"/>
                            <w:szCs w:val="24"/>
                            <w:lang w:val="en-US"/>
                          </w:rPr>
                          <w:t>Sociale</w:t>
                        </w:r>
                        <w:proofErr w:type="spellEnd"/>
                        <w:r w:rsidRPr="00FA6674">
                          <w:rPr>
                            <w:rFonts w:cs="Arial"/>
                            <w:b/>
                            <w:sz w:val="24"/>
                            <w:szCs w:val="24"/>
                            <w:lang w:val="en-US"/>
                          </w:rPr>
                          <w:t xml:space="preserve"> </w:t>
                        </w:r>
                        <w:proofErr w:type="spellStart"/>
                        <w:r w:rsidRPr="00FA6674">
                          <w:rPr>
                            <w:rFonts w:cs="Arial"/>
                            <w:b/>
                            <w:sz w:val="24"/>
                            <w:szCs w:val="24"/>
                            <w:lang w:val="en-US"/>
                          </w:rPr>
                          <w:t>overlast</w:t>
                        </w:r>
                        <w:proofErr w:type="spellEnd"/>
                      </w:p>
                    </w:txbxContent>
                  </v:textbox>
                </v:shape>
                <v:shape id="Tekstvak 17" o:spid="_x0000_s1036" type="#_x0000_t202" style="position:absolute;left:29958;top:15209;width:15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0935E3C5" w14:textId="77777777" w:rsidR="002036F8" w:rsidRPr="00FA6674" w:rsidRDefault="002036F8" w:rsidP="00884B6A">
                        <w:pPr>
                          <w:rPr>
                            <w:rFonts w:cs="Arial"/>
                            <w:b/>
                            <w:sz w:val="24"/>
                            <w:szCs w:val="24"/>
                            <w:lang w:val="en-US"/>
                          </w:rPr>
                        </w:pPr>
                        <w:proofErr w:type="spellStart"/>
                        <w:r>
                          <w:rPr>
                            <w:rFonts w:cs="Arial"/>
                            <w:b/>
                            <w:sz w:val="24"/>
                            <w:szCs w:val="24"/>
                            <w:lang w:val="en-US"/>
                          </w:rPr>
                          <w:t>Ondermijning</w:t>
                        </w:r>
                        <w:proofErr w:type="spellEnd"/>
                      </w:p>
                    </w:txbxContent>
                  </v:textbox>
                </v:shape>
                <v:oval id="Ovaal 18" o:spid="_x0000_s1037" style="position:absolute;left:13144;top:12097;width:17099;height:1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2LsUA&#10;AADbAAAADwAAAGRycy9kb3ducmV2LnhtbESPT2sCQQzF7wW/w5BCb3VWS4usjlIUSw/ForYHb2En&#10;+wdnMsvOuK7f3hwKvSW8l/d+WawG71RPXWwCG5iMM1DERbANVwZ+jtvnGaiYkC26wGTgRhFWy9HD&#10;AnMbrryn/pAqJSEcczRQp9TmWseiJo9xHFpi0crQeUyydpW2HV4l3Ds9zbI37bFhaaixpXVNxflw&#10;8Qa+XSwnp2l5O236nXv5eN1+De2vMU+Pw/scVKIh/Zv/rj+t4Aus/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YuxQAAANsAAAAPAAAAAAAAAAAAAAAAAJgCAABkcnMv&#10;ZG93bnJldi54bWxQSwUGAAAAAAQABAD1AAAAigMAAAAA&#10;" fillcolor="#c0504d [3205]" strokecolor="#bfbfbf" strokeweight="2pt">
                  <v:fill opacity="45746f"/>
                </v:oval>
                <v:shape id="Tekstvak 19" o:spid="_x0000_s1038" type="#_x0000_t202" style="position:absolute;left:21736;top:30385;width:15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1CA4FFFC" w14:textId="6FBBEAF6" w:rsidR="002036F8" w:rsidRPr="00FA6674" w:rsidRDefault="002036F8" w:rsidP="00884B6A">
                        <w:pPr>
                          <w:rPr>
                            <w:rFonts w:cs="Arial"/>
                            <w:b/>
                            <w:sz w:val="24"/>
                            <w:szCs w:val="24"/>
                            <w:lang w:val="en-US"/>
                          </w:rPr>
                        </w:pPr>
                        <w:proofErr w:type="spellStart"/>
                        <w:r>
                          <w:rPr>
                            <w:rFonts w:cs="Arial"/>
                            <w:b/>
                            <w:sz w:val="24"/>
                            <w:szCs w:val="24"/>
                            <w:lang w:val="en-US"/>
                          </w:rPr>
                          <w:t>Radicalisering</w:t>
                        </w:r>
                        <w:proofErr w:type="spellEnd"/>
                      </w:p>
                    </w:txbxContent>
                  </v:textbox>
                </v:shape>
                <v:shape id="Tekstvak 20" o:spid="_x0000_s1039" type="#_x0000_t202" style="position:absolute;left:6809;top:30595;width:15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09F01D71" w14:textId="468CE07D" w:rsidR="002036F8" w:rsidRPr="00FA6674" w:rsidRDefault="002036F8" w:rsidP="00884B6A">
                        <w:pPr>
                          <w:rPr>
                            <w:rFonts w:cs="Arial"/>
                            <w:b/>
                            <w:sz w:val="24"/>
                            <w:szCs w:val="24"/>
                            <w:lang w:val="en-US"/>
                          </w:rPr>
                        </w:pPr>
                        <w:proofErr w:type="spellStart"/>
                        <w:r>
                          <w:rPr>
                            <w:rFonts w:cs="Arial"/>
                            <w:b/>
                            <w:sz w:val="24"/>
                            <w:szCs w:val="24"/>
                            <w:lang w:val="en-US"/>
                          </w:rPr>
                          <w:t>Woninginbraken</w:t>
                        </w:r>
                        <w:proofErr w:type="spellEnd"/>
                      </w:p>
                    </w:txbxContent>
                  </v:textbox>
                </v:shape>
                <v:shape id="Tekstvak 21" o:spid="_x0000_s1040" type="#_x0000_t202" style="position:absolute;left:638;top:16097;width:1524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0F038CB0" w14:textId="13C96AEA" w:rsidR="002036F8" w:rsidRPr="00FA6674" w:rsidRDefault="002036F8" w:rsidP="00884B6A">
                        <w:pPr>
                          <w:rPr>
                            <w:rFonts w:cs="Arial"/>
                            <w:b/>
                            <w:sz w:val="24"/>
                            <w:szCs w:val="24"/>
                            <w:lang w:val="en-US"/>
                          </w:rPr>
                        </w:pPr>
                        <w:proofErr w:type="spellStart"/>
                        <w:r>
                          <w:rPr>
                            <w:rFonts w:cs="Arial"/>
                            <w:b/>
                            <w:sz w:val="24"/>
                            <w:szCs w:val="24"/>
                            <w:lang w:val="en-US"/>
                          </w:rPr>
                          <w:t>Drugscriminaliteit</w:t>
                        </w:r>
                        <w:proofErr w:type="spellEnd"/>
                      </w:p>
                    </w:txbxContent>
                  </v:textbox>
                </v:shape>
                <v:shape id="Tekstvak 22" o:spid="_x0000_s1041" type="#_x0000_t202" style="position:absolute;left:14430;top:17716;width:1524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226D99DC" w14:textId="77777777" w:rsidR="002036F8" w:rsidRPr="00884B6A" w:rsidRDefault="002036F8" w:rsidP="00884B6A">
                        <w:pPr>
                          <w:rPr>
                            <w:rFonts w:cs="Arial"/>
                            <w:b/>
                            <w:sz w:val="24"/>
                            <w:szCs w:val="24"/>
                          </w:rPr>
                        </w:pPr>
                        <w:r w:rsidRPr="00884B6A">
                          <w:rPr>
                            <w:rFonts w:cs="Arial"/>
                            <w:b/>
                            <w:sz w:val="24"/>
                            <w:szCs w:val="24"/>
                          </w:rPr>
                          <w:t>Thema overstijgend:</w:t>
                        </w:r>
                      </w:p>
                      <w:p w14:paraId="61B463D6" w14:textId="77777777" w:rsidR="002036F8" w:rsidRPr="00884B6A" w:rsidRDefault="002036F8" w:rsidP="00884B6A">
                        <w:pPr>
                          <w:rPr>
                            <w:rFonts w:cs="Arial"/>
                            <w:b/>
                            <w:sz w:val="24"/>
                            <w:szCs w:val="24"/>
                          </w:rPr>
                        </w:pPr>
                        <w:r w:rsidRPr="00884B6A">
                          <w:rPr>
                            <w:rFonts w:cs="Arial"/>
                            <w:b/>
                            <w:sz w:val="24"/>
                            <w:szCs w:val="24"/>
                          </w:rPr>
                          <w:t>Jeugd, zorg en veiligheid</w:t>
                        </w:r>
                      </w:p>
                    </w:txbxContent>
                  </v:textbox>
                </v:shape>
                <w10:wrap type="square"/>
              </v:group>
            </w:pict>
          </mc:Fallback>
        </mc:AlternateContent>
      </w:r>
      <w:r w:rsidR="00137E4D">
        <w:t>Prioriteiten</w:t>
      </w:r>
      <w:r w:rsidR="00D27CD1">
        <w:t xml:space="preserve"> Gouda</w:t>
      </w:r>
      <w:r w:rsidR="00137E4D">
        <w:t xml:space="preserve"> 2019-2022</w:t>
      </w:r>
      <w:bookmarkEnd w:id="10"/>
    </w:p>
    <w:p w14:paraId="26851C8A" w14:textId="38B9C16F" w:rsidR="00137E4D" w:rsidRDefault="00137E4D" w:rsidP="007653A4">
      <w:pPr>
        <w:pStyle w:val="Lijstnummering"/>
        <w:numPr>
          <w:ilvl w:val="0"/>
          <w:numId w:val="0"/>
        </w:numPr>
        <w:ind w:left="360"/>
      </w:pPr>
    </w:p>
    <w:p w14:paraId="5BA48FA1" w14:textId="3D636089" w:rsidR="00174CA0" w:rsidRDefault="00174CA0" w:rsidP="007653A4">
      <w:pPr>
        <w:pStyle w:val="Lijstnummering"/>
        <w:numPr>
          <w:ilvl w:val="0"/>
          <w:numId w:val="0"/>
        </w:numPr>
        <w:ind w:left="360"/>
      </w:pPr>
    </w:p>
    <w:p w14:paraId="1B651369" w14:textId="34646E4D" w:rsidR="00137E4D" w:rsidRDefault="00A31CD7" w:rsidP="007653A4">
      <w:pPr>
        <w:pStyle w:val="Lijstnummering"/>
        <w:numPr>
          <w:ilvl w:val="0"/>
          <w:numId w:val="0"/>
        </w:numPr>
      </w:pPr>
      <w:r>
        <w:t>In</w:t>
      </w:r>
      <w:r w:rsidR="00137E4D">
        <w:t xml:space="preserve"> 2019-2022 </w:t>
      </w:r>
      <w:r>
        <w:t xml:space="preserve">staan </w:t>
      </w:r>
      <w:r w:rsidR="00137E4D">
        <w:t xml:space="preserve">de volgende prioriteiten </w:t>
      </w:r>
      <w:r>
        <w:t>centraal:</w:t>
      </w:r>
    </w:p>
    <w:p w14:paraId="0FA65520" w14:textId="4404C82F" w:rsidR="00137E4D" w:rsidRPr="00BF2E91" w:rsidRDefault="00137E4D" w:rsidP="007653A4">
      <w:pPr>
        <w:pStyle w:val="Lijstnummering"/>
        <w:numPr>
          <w:ilvl w:val="0"/>
          <w:numId w:val="0"/>
        </w:numPr>
        <w:rPr>
          <w:sz w:val="24"/>
          <w:szCs w:val="24"/>
        </w:rPr>
      </w:pPr>
    </w:p>
    <w:p w14:paraId="458E100F" w14:textId="7B80575F" w:rsidR="00884B6A" w:rsidRDefault="00562D86" w:rsidP="007653A4">
      <w:pPr>
        <w:pStyle w:val="Lijstnummering"/>
        <w:numPr>
          <w:ilvl w:val="0"/>
          <w:numId w:val="29"/>
        </w:numPr>
        <w:ind w:left="360" w:firstLine="0"/>
        <w:rPr>
          <w:sz w:val="24"/>
          <w:szCs w:val="24"/>
        </w:rPr>
      </w:pPr>
      <w:r w:rsidRPr="00BF2E91">
        <w:rPr>
          <w:sz w:val="24"/>
          <w:szCs w:val="24"/>
        </w:rPr>
        <w:t xml:space="preserve">Aanpak </w:t>
      </w:r>
      <w:r w:rsidR="00A75E39">
        <w:rPr>
          <w:sz w:val="24"/>
          <w:szCs w:val="24"/>
        </w:rPr>
        <w:t>j</w:t>
      </w:r>
      <w:r w:rsidR="00137E4D" w:rsidRPr="00BF2E91">
        <w:rPr>
          <w:sz w:val="24"/>
          <w:szCs w:val="24"/>
        </w:rPr>
        <w:t>eugdcriminaliteit</w:t>
      </w:r>
      <w:r w:rsidR="0074469B" w:rsidRPr="00BF2E91">
        <w:rPr>
          <w:sz w:val="24"/>
          <w:szCs w:val="24"/>
        </w:rPr>
        <w:t xml:space="preserve">: </w:t>
      </w:r>
    </w:p>
    <w:p w14:paraId="7B1C6604" w14:textId="1D61C95F" w:rsidR="00137E4D" w:rsidRPr="00BF2E91" w:rsidRDefault="0074469B" w:rsidP="007653A4">
      <w:pPr>
        <w:pStyle w:val="Lijstnummering"/>
        <w:numPr>
          <w:ilvl w:val="0"/>
          <w:numId w:val="0"/>
        </w:numPr>
        <w:ind w:left="360"/>
        <w:rPr>
          <w:sz w:val="24"/>
          <w:szCs w:val="24"/>
        </w:rPr>
      </w:pPr>
      <w:r w:rsidRPr="00BF2E91">
        <w:rPr>
          <w:sz w:val="24"/>
          <w:szCs w:val="24"/>
        </w:rPr>
        <w:t>woninginbraken, drugscriminaliteit, radicalisering</w:t>
      </w:r>
    </w:p>
    <w:p w14:paraId="0B82ACE7" w14:textId="4C111746" w:rsidR="00562D86" w:rsidRPr="00BF2E91" w:rsidRDefault="00562D86" w:rsidP="007653A4">
      <w:pPr>
        <w:pStyle w:val="Lijstnummering"/>
        <w:numPr>
          <w:ilvl w:val="0"/>
          <w:numId w:val="29"/>
        </w:numPr>
        <w:ind w:left="360" w:firstLine="0"/>
        <w:rPr>
          <w:sz w:val="24"/>
          <w:szCs w:val="24"/>
        </w:rPr>
      </w:pPr>
      <w:r w:rsidRPr="00BF2E91">
        <w:rPr>
          <w:sz w:val="24"/>
          <w:szCs w:val="24"/>
        </w:rPr>
        <w:t xml:space="preserve">Tegengaan </w:t>
      </w:r>
      <w:r w:rsidR="00137E4D" w:rsidRPr="00BF2E91">
        <w:rPr>
          <w:sz w:val="24"/>
          <w:szCs w:val="24"/>
        </w:rPr>
        <w:t>ondermijning</w:t>
      </w:r>
    </w:p>
    <w:p w14:paraId="2F2FE0BA" w14:textId="77777777" w:rsidR="009E25E3" w:rsidRPr="00BF2E91" w:rsidRDefault="007C0068" w:rsidP="007653A4">
      <w:pPr>
        <w:pStyle w:val="Lijstnummering"/>
        <w:numPr>
          <w:ilvl w:val="0"/>
          <w:numId w:val="29"/>
        </w:numPr>
        <w:ind w:left="360" w:firstLine="0"/>
        <w:rPr>
          <w:sz w:val="24"/>
          <w:szCs w:val="24"/>
        </w:rPr>
      </w:pPr>
      <w:r w:rsidRPr="00BF2E91">
        <w:rPr>
          <w:sz w:val="24"/>
          <w:szCs w:val="24"/>
        </w:rPr>
        <w:t>A</w:t>
      </w:r>
      <w:r w:rsidR="00562D86" w:rsidRPr="00BF2E91">
        <w:rPr>
          <w:sz w:val="24"/>
          <w:szCs w:val="24"/>
        </w:rPr>
        <w:t xml:space="preserve">anpak </w:t>
      </w:r>
      <w:r w:rsidR="00137E4D" w:rsidRPr="00BF2E91">
        <w:rPr>
          <w:sz w:val="24"/>
          <w:szCs w:val="24"/>
        </w:rPr>
        <w:t>sociale overlast</w:t>
      </w:r>
    </w:p>
    <w:p w14:paraId="5ACD0BFF" w14:textId="6B2C2774" w:rsidR="009E25E3" w:rsidRDefault="009E25E3" w:rsidP="007653A4">
      <w:pPr>
        <w:pStyle w:val="Lijstnummering"/>
        <w:numPr>
          <w:ilvl w:val="0"/>
          <w:numId w:val="0"/>
        </w:numPr>
      </w:pPr>
    </w:p>
    <w:p w14:paraId="73BAFAE2" w14:textId="21B1B551" w:rsidR="00BF2E91" w:rsidRDefault="00BF2E91" w:rsidP="007653A4">
      <w:pPr>
        <w:pStyle w:val="Lijstnummering"/>
        <w:numPr>
          <w:ilvl w:val="0"/>
          <w:numId w:val="0"/>
        </w:numPr>
      </w:pPr>
    </w:p>
    <w:p w14:paraId="6737AE5B" w14:textId="1DE650D2" w:rsidR="00E67830" w:rsidRPr="00E67830" w:rsidRDefault="00E67830" w:rsidP="007653A4">
      <w:pPr>
        <w:pStyle w:val="Lijstnummering"/>
        <w:numPr>
          <w:ilvl w:val="0"/>
          <w:numId w:val="0"/>
        </w:numPr>
        <w:rPr>
          <w:b/>
        </w:rPr>
      </w:pPr>
      <w:r w:rsidRPr="00E67830">
        <w:rPr>
          <w:b/>
        </w:rPr>
        <w:t>Zorg</w:t>
      </w:r>
      <w:r w:rsidR="00A540B9">
        <w:rPr>
          <w:b/>
        </w:rPr>
        <w:t xml:space="preserve"> </w:t>
      </w:r>
      <w:r w:rsidRPr="00E67830">
        <w:rPr>
          <w:b/>
        </w:rPr>
        <w:t>&amp;</w:t>
      </w:r>
      <w:r w:rsidR="00A540B9">
        <w:rPr>
          <w:b/>
        </w:rPr>
        <w:t xml:space="preserve"> </w:t>
      </w:r>
      <w:r w:rsidR="00A75E39">
        <w:rPr>
          <w:b/>
        </w:rPr>
        <w:t>v</w:t>
      </w:r>
      <w:r w:rsidRPr="00E67830">
        <w:rPr>
          <w:b/>
        </w:rPr>
        <w:t>eiligheid</w:t>
      </w:r>
    </w:p>
    <w:p w14:paraId="5E28B572" w14:textId="6C5810BE" w:rsidR="009010BD" w:rsidRDefault="009010BD" w:rsidP="007653A4">
      <w:pPr>
        <w:pStyle w:val="Lijstnummering"/>
        <w:numPr>
          <w:ilvl w:val="0"/>
          <w:numId w:val="0"/>
        </w:numPr>
      </w:pPr>
      <w:r>
        <w:t>Voor alle prioriteiten geldt dat er</w:t>
      </w:r>
      <w:r w:rsidR="006A7E7A">
        <w:t xml:space="preserve"> al</w:t>
      </w:r>
      <w:r>
        <w:t xml:space="preserve"> intensief wordt samengewerkt tussen </w:t>
      </w:r>
    </w:p>
    <w:p w14:paraId="5AC5AED4" w14:textId="79AA398A" w:rsidR="0043415A" w:rsidRDefault="009010BD" w:rsidP="007653A4">
      <w:pPr>
        <w:pStyle w:val="Lijstnummering"/>
        <w:numPr>
          <w:ilvl w:val="0"/>
          <w:numId w:val="0"/>
        </w:numPr>
      </w:pPr>
      <w:r>
        <w:t xml:space="preserve">de domeinen van </w:t>
      </w:r>
      <w:r w:rsidR="00A75E39">
        <w:t>z</w:t>
      </w:r>
      <w:r w:rsidR="00123B5D">
        <w:t xml:space="preserve">org en </w:t>
      </w:r>
      <w:r w:rsidR="00A75E39">
        <w:t>v</w:t>
      </w:r>
      <w:r w:rsidR="00123B5D">
        <w:t>eiligheid</w:t>
      </w:r>
      <w:r>
        <w:t>. Een goede</w:t>
      </w:r>
      <w:r w:rsidR="0043415A">
        <w:t>, integrale</w:t>
      </w:r>
      <w:r>
        <w:t xml:space="preserve"> aanpak start </w:t>
      </w:r>
    </w:p>
    <w:p w14:paraId="6CD0E1BD" w14:textId="0591F0F5" w:rsidR="00AC1CC9" w:rsidRDefault="009010BD" w:rsidP="007653A4">
      <w:pPr>
        <w:pStyle w:val="Lijstnummering"/>
        <w:numPr>
          <w:ilvl w:val="0"/>
          <w:numId w:val="0"/>
        </w:numPr>
      </w:pPr>
      <w:r>
        <w:t xml:space="preserve">met een focus op preventie, voorkomen is immers beter dan genezen. </w:t>
      </w:r>
    </w:p>
    <w:p w14:paraId="247110FD" w14:textId="2D4A12D7" w:rsidR="00AC1CC9" w:rsidRDefault="009010BD" w:rsidP="007653A4">
      <w:pPr>
        <w:pStyle w:val="Lijstnummering"/>
        <w:numPr>
          <w:ilvl w:val="0"/>
          <w:numId w:val="0"/>
        </w:numPr>
      </w:pPr>
      <w:r>
        <w:t>Vroegtijdig signaleren van problematiek bij kinderen</w:t>
      </w:r>
      <w:r w:rsidR="00AC1CC9">
        <w:t xml:space="preserve"> kan veel schade </w:t>
      </w:r>
    </w:p>
    <w:p w14:paraId="20A5812B" w14:textId="45F313E2" w:rsidR="00AC1CC9" w:rsidRDefault="00AC1CC9" w:rsidP="007653A4">
      <w:pPr>
        <w:pStyle w:val="Lijstnummering"/>
        <w:numPr>
          <w:ilvl w:val="0"/>
          <w:numId w:val="0"/>
        </w:numPr>
      </w:pPr>
      <w:r>
        <w:t>voorkomen. Kinderen die opgroeien in risicogezinnen</w:t>
      </w:r>
      <w:r w:rsidR="00154F7E">
        <w:t>,</w:t>
      </w:r>
      <w:r>
        <w:t xml:space="preserve"> omdat een broer </w:t>
      </w:r>
    </w:p>
    <w:p w14:paraId="08591E80" w14:textId="194E9175" w:rsidR="00AC1CC9" w:rsidRDefault="00AC1CC9" w:rsidP="007653A4">
      <w:pPr>
        <w:pStyle w:val="Lijstnummering"/>
        <w:numPr>
          <w:ilvl w:val="0"/>
          <w:numId w:val="0"/>
        </w:numPr>
      </w:pPr>
      <w:r>
        <w:t>of familielid criminele activiteiten ontplooit</w:t>
      </w:r>
      <w:r w:rsidR="00154F7E">
        <w:t>,</w:t>
      </w:r>
      <w:r>
        <w:t xml:space="preserve"> verdienen het om hiertegen </w:t>
      </w:r>
    </w:p>
    <w:p w14:paraId="3A5C6FA9" w14:textId="4EB66C33" w:rsidR="00BD230A" w:rsidRPr="00693084" w:rsidRDefault="00AC1CC9" w:rsidP="007653A4">
      <w:pPr>
        <w:pStyle w:val="Lijstnummering"/>
        <w:numPr>
          <w:ilvl w:val="0"/>
          <w:numId w:val="0"/>
        </w:numPr>
      </w:pPr>
      <w:r w:rsidRPr="00693084">
        <w:t>beschermd te</w:t>
      </w:r>
      <w:r w:rsidR="00E67830" w:rsidRPr="00693084">
        <w:t xml:space="preserve"> worden. </w:t>
      </w:r>
      <w:r w:rsidR="00BD230A" w:rsidRPr="00693084">
        <w:t>Andersom is het</w:t>
      </w:r>
      <w:r w:rsidR="001D605E" w:rsidRPr="00693084">
        <w:t xml:space="preserve"> van</w:t>
      </w:r>
      <w:r w:rsidR="00BD230A" w:rsidRPr="00693084">
        <w:t xml:space="preserve"> belang dat ouders weerbaar </w:t>
      </w:r>
    </w:p>
    <w:p w14:paraId="124CB814" w14:textId="77777777" w:rsidR="00BD230A" w:rsidRPr="00693084" w:rsidRDefault="00BD230A" w:rsidP="007653A4">
      <w:pPr>
        <w:pStyle w:val="Lijstnummering"/>
        <w:numPr>
          <w:ilvl w:val="0"/>
          <w:numId w:val="0"/>
        </w:numPr>
      </w:pPr>
      <w:r w:rsidRPr="00693084">
        <w:t xml:space="preserve">genoeg zijn tegen kinderen die criminele activiteiten willen </w:t>
      </w:r>
    </w:p>
    <w:p w14:paraId="5DF3B9BD" w14:textId="0DC233AF" w:rsidR="00E67830" w:rsidRPr="00693084" w:rsidRDefault="00BD230A" w:rsidP="007653A4">
      <w:pPr>
        <w:pStyle w:val="Lijstnummering"/>
        <w:numPr>
          <w:ilvl w:val="0"/>
          <w:numId w:val="0"/>
        </w:numPr>
      </w:pPr>
      <w:r w:rsidRPr="00693084">
        <w:t xml:space="preserve">ondernemen. </w:t>
      </w:r>
      <w:r w:rsidR="00E67830" w:rsidRPr="00693084">
        <w:t xml:space="preserve">Hiervoor moet de gehele keten samenwerken </w:t>
      </w:r>
    </w:p>
    <w:p w14:paraId="6A296C10" w14:textId="3D075F33" w:rsidR="009E25E3" w:rsidRDefault="00E67830" w:rsidP="007653A4">
      <w:pPr>
        <w:pStyle w:val="Lijstnummering"/>
        <w:numPr>
          <w:ilvl w:val="0"/>
          <w:numId w:val="0"/>
        </w:numPr>
      </w:pPr>
      <w:r w:rsidRPr="00693084">
        <w:t>en afspraken maken over doorzettingskracht en escalatieafspraken.</w:t>
      </w:r>
    </w:p>
    <w:p w14:paraId="52238AF0" w14:textId="77777777" w:rsidR="00C125EA" w:rsidRDefault="00C125EA" w:rsidP="007653A4">
      <w:pPr>
        <w:pStyle w:val="Lijstnummering"/>
        <w:numPr>
          <w:ilvl w:val="0"/>
          <w:numId w:val="0"/>
        </w:numPr>
      </w:pPr>
    </w:p>
    <w:p w14:paraId="3895ECF5" w14:textId="77777777" w:rsidR="00E67830" w:rsidRDefault="00E67830" w:rsidP="007653A4">
      <w:pPr>
        <w:pStyle w:val="Lijstnummering"/>
        <w:numPr>
          <w:ilvl w:val="0"/>
          <w:numId w:val="0"/>
        </w:numPr>
      </w:pPr>
      <w:r>
        <w:t xml:space="preserve">Ook op het gebied van ondermijning geldt dat met name kwetsbare </w:t>
      </w:r>
    </w:p>
    <w:p w14:paraId="6AB04FB0" w14:textId="66FF75DA" w:rsidR="0043415A" w:rsidRDefault="00E67830" w:rsidP="007653A4">
      <w:pPr>
        <w:pStyle w:val="Lijstnummering"/>
        <w:numPr>
          <w:ilvl w:val="0"/>
          <w:numId w:val="0"/>
        </w:numPr>
      </w:pPr>
      <w:r>
        <w:t xml:space="preserve">burgers risico’s lopen. Het </w:t>
      </w:r>
      <w:r w:rsidR="0043415A">
        <w:t xml:space="preserve">voorkomen van </w:t>
      </w:r>
      <w:proofErr w:type="spellStart"/>
      <w:r w:rsidR="00FE3FFA">
        <w:t>multiproblematiek</w:t>
      </w:r>
      <w:proofErr w:type="spellEnd"/>
      <w:r w:rsidR="0043415A">
        <w:t xml:space="preserve"> levert op </w:t>
      </w:r>
    </w:p>
    <w:p w14:paraId="08EE073B" w14:textId="24BF40E4" w:rsidR="00E67830" w:rsidRDefault="0043415A" w:rsidP="007653A4">
      <w:pPr>
        <w:pStyle w:val="Lijstnummering"/>
        <w:numPr>
          <w:ilvl w:val="0"/>
          <w:numId w:val="0"/>
        </w:numPr>
      </w:pPr>
      <w:r>
        <w:t>die manier ook een bijdrage aan het tegengaan van ondermijning.</w:t>
      </w:r>
    </w:p>
    <w:p w14:paraId="2E981250" w14:textId="19543C8A" w:rsidR="00C125EA" w:rsidRDefault="00C125EA" w:rsidP="007653A4">
      <w:pPr>
        <w:pStyle w:val="Lijstnummering"/>
        <w:numPr>
          <w:ilvl w:val="0"/>
          <w:numId w:val="0"/>
        </w:numPr>
      </w:pPr>
    </w:p>
    <w:p w14:paraId="1B036387" w14:textId="60A05577" w:rsidR="0043415A" w:rsidRDefault="0043415A" w:rsidP="007653A4">
      <w:pPr>
        <w:pStyle w:val="Lijstnummering"/>
        <w:numPr>
          <w:ilvl w:val="0"/>
          <w:numId w:val="0"/>
        </w:numPr>
      </w:pPr>
      <w:r>
        <w:t xml:space="preserve">Op het gebied van sociale overlast is de samenwerking met het </w:t>
      </w:r>
    </w:p>
    <w:p w14:paraId="6C0DEB10" w14:textId="77777777" w:rsidR="0043415A" w:rsidRDefault="0043415A" w:rsidP="007653A4">
      <w:pPr>
        <w:pStyle w:val="Lijstnummering"/>
        <w:numPr>
          <w:ilvl w:val="0"/>
          <w:numId w:val="0"/>
        </w:numPr>
      </w:pPr>
      <w:r>
        <w:t xml:space="preserve">zorgdomein als vanzelf aanwezig. Het zwaartepunt van de aanpak ligt </w:t>
      </w:r>
    </w:p>
    <w:p w14:paraId="0BD45905" w14:textId="77777777" w:rsidR="008B127C" w:rsidRDefault="0043415A" w:rsidP="007653A4">
      <w:pPr>
        <w:pStyle w:val="Lijstnummering"/>
        <w:numPr>
          <w:ilvl w:val="0"/>
          <w:numId w:val="0"/>
        </w:numPr>
      </w:pPr>
      <w:r>
        <w:t>immers in het sociaal domein.</w:t>
      </w:r>
      <w:r w:rsidR="008B127C">
        <w:t xml:space="preserve"> In het geval van</w:t>
      </w:r>
      <w:r>
        <w:t xml:space="preserve"> extreme overlastsituaties is </w:t>
      </w:r>
    </w:p>
    <w:p w14:paraId="26C68F36" w14:textId="679DB2D5" w:rsidR="0043415A" w:rsidRDefault="0043415A" w:rsidP="007653A4">
      <w:pPr>
        <w:pStyle w:val="Lijstnummering"/>
        <w:numPr>
          <w:ilvl w:val="0"/>
          <w:numId w:val="0"/>
        </w:numPr>
      </w:pPr>
      <w:r>
        <w:t>het veiligheidsdomein aan zet.</w:t>
      </w:r>
      <w:r w:rsidR="00A31CD7" w:rsidRPr="00A31CD7">
        <w:t xml:space="preserve"> </w:t>
      </w:r>
    </w:p>
    <w:p w14:paraId="2A70CE47" w14:textId="2ABA5DF2" w:rsidR="0040059C" w:rsidRDefault="0040059C" w:rsidP="007653A4"/>
    <w:p w14:paraId="44A65475" w14:textId="21CC2EDD" w:rsidR="00B72A4D" w:rsidRDefault="00A31CD7" w:rsidP="007653A4">
      <w:r>
        <w:rPr>
          <w:noProof/>
        </w:rPr>
        <mc:AlternateContent>
          <mc:Choice Requires="wps">
            <w:drawing>
              <wp:anchor distT="45720" distB="45720" distL="114300" distR="114300" simplePos="0" relativeHeight="251679744" behindDoc="0" locked="0" layoutInCell="1" allowOverlap="1" wp14:anchorId="6190845E" wp14:editId="78FC94AD">
                <wp:simplePos x="0" y="0"/>
                <wp:positionH relativeFrom="column">
                  <wp:posOffset>4690745</wp:posOffset>
                </wp:positionH>
                <wp:positionV relativeFrom="paragraph">
                  <wp:posOffset>162560</wp:posOffset>
                </wp:positionV>
                <wp:extent cx="3848100" cy="1404620"/>
                <wp:effectExtent l="0" t="0" r="1905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3DE0C697" w14:textId="39DF1EBE" w:rsidR="002036F8" w:rsidRPr="00A31CD7" w:rsidRDefault="002036F8">
                            <w:r w:rsidRPr="00A31CD7">
                              <w:t>Schematische weergave van de Goudse veiligheidsprioriteiten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69.35pt;margin-top:12.8pt;width:303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">
                <v:textbox style="mso-fit-shape-to-text:t">
                  <w:txbxContent>
                    <w:p w14:paraId="3DE0C697" w14:textId="39DF1EBE" w:rsidR="002036F8" w:rsidRPr="00A31CD7" w:rsidRDefault="002036F8">
                      <w:r w:rsidRPr="00A31CD7">
                        <w:t>Schematische weergave van de Goudse veiligheidsprioriteiten</w:t>
                      </w:r>
                    </w:p>
                  </w:txbxContent>
                </v:textbox>
                <w10:wrap type="square"/>
              </v:shape>
            </w:pict>
          </mc:Fallback>
        </mc:AlternateContent>
      </w:r>
      <w:r w:rsidR="00B72A4D" w:rsidRPr="00B72A4D">
        <w:t>Om radicalisering en polarisatie te voorkomen onderhoudt de gemeente relevante netwerken in de stad. Om het onderwerp bespreekbaar te maken en te houden werkt de gemeente samen met sleutelpersonen aan het organiseren van activiteiten en d</w:t>
      </w:r>
      <w:r w:rsidR="008B127C">
        <w:t>ialogen</w:t>
      </w:r>
      <w:r w:rsidR="00B72A4D" w:rsidRPr="00B72A4D">
        <w:t xml:space="preserve">. Ouders ontvangen </w:t>
      </w:r>
      <w:r w:rsidR="0040059C">
        <w:t xml:space="preserve">gerichte </w:t>
      </w:r>
      <w:r w:rsidR="00B72A4D" w:rsidRPr="00B72A4D">
        <w:t>opvoedondersteuning en kwetsbare jongeren ontvangen weerbaarheidstraining.</w:t>
      </w:r>
    </w:p>
    <w:p w14:paraId="3F355BF9" w14:textId="77777777" w:rsidR="008861C9" w:rsidRDefault="008861C9" w:rsidP="007653A4"/>
    <w:p w14:paraId="580C8775" w14:textId="26616D47" w:rsidR="00A31CD7" w:rsidRPr="00AC5F90" w:rsidRDefault="00A31CD7" w:rsidP="007653A4">
      <w:pPr>
        <w:rPr>
          <w:rFonts w:ascii="Calibri" w:hAnsi="Calibri"/>
        </w:rPr>
      </w:pPr>
      <w:r w:rsidRPr="00AC5F90">
        <w:t>In 2019 wordt verkend of en</w:t>
      </w:r>
      <w:r w:rsidR="008B127C">
        <w:t xml:space="preserve"> zo ja,</w:t>
      </w:r>
      <w:r w:rsidRPr="00AC5F90">
        <w:t xml:space="preserve"> hoe het Veiligheidshuis Hollands Midden zich kan door</w:t>
      </w:r>
      <w:r w:rsidR="006A7E7A">
        <w:t xml:space="preserve"> </w:t>
      </w:r>
      <w:r w:rsidRPr="00AC5F90">
        <w:t xml:space="preserve">ontwikkelen tot een </w:t>
      </w:r>
      <w:proofErr w:type="spellStart"/>
      <w:r w:rsidRPr="00AC5F90">
        <w:t>Zorg-en</w:t>
      </w:r>
      <w:proofErr w:type="spellEnd"/>
      <w:r w:rsidRPr="00AC5F90">
        <w:t xml:space="preserve"> Veiligheidshuis. In een </w:t>
      </w:r>
      <w:proofErr w:type="spellStart"/>
      <w:r w:rsidRPr="00AC5F90">
        <w:t>Zorg-en</w:t>
      </w:r>
      <w:proofErr w:type="spellEnd"/>
      <w:r w:rsidRPr="00AC5F90">
        <w:t xml:space="preserve"> Veiligheidshuis zal de nadruk nog sterker komen te liggen op een nauwe samenwerking tussen het sociaal domein, het zorgdomein en het veiligheidsdomein. In een meerderheid van de complexe casussen is namelijk sprake van zowel sociale, zorg- als veiligheidsproblematiek. Voor effectieve zorgverlening aan deze groep is expertise nodig, die deels op lokaal niveau en deels op regionaal moet worden georganiseerd. Concreet wordt beoogd om het </w:t>
      </w:r>
      <w:r w:rsidR="008B127C">
        <w:t>Z</w:t>
      </w:r>
      <w:r w:rsidRPr="00AC5F90">
        <w:t xml:space="preserve">org- en </w:t>
      </w:r>
      <w:r w:rsidR="008B127C">
        <w:t>V</w:t>
      </w:r>
      <w:r w:rsidRPr="00AC5F90">
        <w:t>eiligheidshuis te vormen</w:t>
      </w:r>
      <w:r w:rsidR="00B25801">
        <w:t xml:space="preserve"> door een samengaan van </w:t>
      </w:r>
      <w:r w:rsidRPr="00AC5F90">
        <w:t xml:space="preserve">de sector Maatschappelijke zorg </w:t>
      </w:r>
      <w:r w:rsidR="00B25801">
        <w:t xml:space="preserve">(o.a. Meldpunt Zorg en Overlast) </w:t>
      </w:r>
      <w:r w:rsidRPr="00AC5F90">
        <w:t>en Veilig Thuis van de RDOG en het Veiligheidshuis Hollands Midden.</w:t>
      </w:r>
    </w:p>
    <w:p w14:paraId="598B90DD" w14:textId="77777777" w:rsidR="00884B6A" w:rsidRDefault="00884B6A" w:rsidP="007653A4">
      <w:pPr>
        <w:pStyle w:val="Lijstnummering"/>
        <w:numPr>
          <w:ilvl w:val="0"/>
          <w:numId w:val="0"/>
        </w:numPr>
        <w:ind w:left="360"/>
        <w:rPr>
          <w:b/>
        </w:rPr>
      </w:pPr>
    </w:p>
    <w:p w14:paraId="274339F4" w14:textId="77777777" w:rsidR="00E75A9B" w:rsidRPr="00562D86" w:rsidRDefault="00E75A9B" w:rsidP="007653A4">
      <w:pPr>
        <w:pStyle w:val="Lijstnummering"/>
        <w:numPr>
          <w:ilvl w:val="0"/>
          <w:numId w:val="0"/>
        </w:numPr>
        <w:ind w:left="360"/>
        <w:rPr>
          <w:b/>
        </w:rPr>
      </w:pPr>
      <w:r w:rsidRPr="00562D86">
        <w:rPr>
          <w:b/>
        </w:rPr>
        <w:t>Aanpak Jeugdcriminaliteit: focus op woninginbraken, drugscriminaliteit, radicalisering</w:t>
      </w:r>
    </w:p>
    <w:p w14:paraId="591314C4" w14:textId="77777777" w:rsidR="00E75A9B" w:rsidRDefault="00E75A9B" w:rsidP="007653A4">
      <w:pPr>
        <w:pStyle w:val="Lijstnummering"/>
        <w:numPr>
          <w:ilvl w:val="0"/>
          <w:numId w:val="0"/>
        </w:numPr>
        <w:ind w:left="360"/>
      </w:pPr>
    </w:p>
    <w:p w14:paraId="2E85ED16" w14:textId="1BC464C1" w:rsidR="00C352DE" w:rsidRDefault="00A74B3F" w:rsidP="007653A4">
      <w:pPr>
        <w:pStyle w:val="Lijstnummering"/>
        <w:numPr>
          <w:ilvl w:val="0"/>
          <w:numId w:val="0"/>
        </w:numPr>
      </w:pPr>
      <w:r>
        <w:t xml:space="preserve">Het advies van DSP om jeugdcriminaliteit als prioriteit te benoemen </w:t>
      </w:r>
      <w:r w:rsidR="00154F7E">
        <w:t>voor de komende periode neemt het college</w:t>
      </w:r>
      <w:r>
        <w:t xml:space="preserve"> over. Dit betreft in eerste instantie iedere jeugdige die risico loopt op afglijden naar crimineel gedrag</w:t>
      </w:r>
      <w:r w:rsidR="00154F7E">
        <w:t>,</w:t>
      </w:r>
      <w:r>
        <w:t xml:space="preserve"> als ook jongeren die zich daadwerkelijk schuldig maken aan strafbare feiten. </w:t>
      </w:r>
      <w:r w:rsidR="00A31F5F">
        <w:t>Er gaat extra aandacht naar</w:t>
      </w:r>
      <w:r>
        <w:t xml:space="preserve"> </w:t>
      </w:r>
      <w:r w:rsidR="00C352DE" w:rsidRPr="00DE71B0">
        <w:t>Marokkaans-Nederlandse jongeren</w:t>
      </w:r>
      <w:r w:rsidR="00154F7E">
        <w:t>,</w:t>
      </w:r>
      <w:r w:rsidR="00C352DE" w:rsidRPr="00DE71B0">
        <w:t xml:space="preserve"> die we in verschillende vormen van problematisch gedrag terugzien.</w:t>
      </w:r>
      <w:r w:rsidR="00A31F5F">
        <w:t xml:space="preserve"> I</w:t>
      </w:r>
      <w:r w:rsidR="00423259">
        <w:t xml:space="preserve">n de Top60 is deze doelgroep </w:t>
      </w:r>
      <w:r w:rsidR="00B25801">
        <w:t xml:space="preserve">bijvoorbeeld </w:t>
      </w:r>
      <w:r w:rsidR="00423259">
        <w:t xml:space="preserve">stevig </w:t>
      </w:r>
      <w:r w:rsidR="00A31F5F">
        <w:t xml:space="preserve">vertegenwoordigd. </w:t>
      </w:r>
      <w:r w:rsidR="00423259">
        <w:t>Deze focus</w:t>
      </w:r>
      <w:r w:rsidR="00C352DE" w:rsidRPr="00DE71B0">
        <w:t xml:space="preserve"> vraagt om een integrale aanpak, liefst in samenwerking met de Marokkaans-Nederlandse gemeenschap(pen) in Gouda. Zowel met betrekking tot de aanpak als vooral ook gericht op het voorkomen van problemen en</w:t>
      </w:r>
      <w:r w:rsidR="009C3AC5" w:rsidRPr="00DE71B0">
        <w:t xml:space="preserve"> het wegnemen van</w:t>
      </w:r>
      <w:r w:rsidR="00C352DE" w:rsidRPr="00DE71B0">
        <w:t xml:space="preserve"> belemmeringen </w:t>
      </w:r>
      <w:r w:rsidR="009C3AC5" w:rsidRPr="00DE71B0">
        <w:t>die Marokkaans-Nederlandse jongeren ervaren in de stad (samen</w:t>
      </w:r>
      <w:r w:rsidR="00423259">
        <w:t xml:space="preserve">werking met integratiebeleid). </w:t>
      </w:r>
    </w:p>
    <w:p w14:paraId="2ECE69DC" w14:textId="53DC152F" w:rsidR="005D5FC4" w:rsidRPr="00DE71B0" w:rsidRDefault="005D5FC4" w:rsidP="007653A4">
      <w:pPr>
        <w:pStyle w:val="Lijstnummering"/>
        <w:numPr>
          <w:ilvl w:val="0"/>
          <w:numId w:val="0"/>
        </w:numPr>
      </w:pPr>
      <w:r>
        <w:t xml:space="preserve">In het Veiligheidshuis wordt </w:t>
      </w:r>
      <w:r w:rsidR="008A651F">
        <w:t>casuïstiek aangepakt in de Top60, het focusoverleg en de nazorg voor ex-gedetineerden</w:t>
      </w:r>
      <w:r w:rsidR="008B127C">
        <w:t xml:space="preserve"> en casuïstiek rondom radicalisering</w:t>
      </w:r>
      <w:r w:rsidR="008A651F">
        <w:t xml:space="preserve">. De gemeente en de andere veiligheidspartners worden nauw betrokken in de plannen van aanpak en hebben daarnaast een eigenstandige rol in de aanpak van </w:t>
      </w:r>
      <w:r w:rsidR="008B127C">
        <w:t>deze jongeren</w:t>
      </w:r>
      <w:r w:rsidR="008A651F">
        <w:t>. In de komende periode ligt de nadruk dus zowe</w:t>
      </w:r>
      <w:r w:rsidR="00DC12A5">
        <w:t>l op preventie</w:t>
      </w:r>
      <w:r w:rsidR="008B127C">
        <w:t xml:space="preserve"> en zorg</w:t>
      </w:r>
      <w:r w:rsidR="00DC12A5">
        <w:t xml:space="preserve"> als op repressie, zoals in het coalitieakkoord opgenomen staat.</w:t>
      </w:r>
    </w:p>
    <w:p w14:paraId="46F7C700" w14:textId="77777777" w:rsidR="00CF3DBD" w:rsidRDefault="00CF3DBD" w:rsidP="007653A4">
      <w:pPr>
        <w:pStyle w:val="Lijstnummering"/>
        <w:numPr>
          <w:ilvl w:val="0"/>
          <w:numId w:val="0"/>
        </w:numPr>
        <w:ind w:left="360"/>
      </w:pPr>
    </w:p>
    <w:p w14:paraId="2A9A2F8E" w14:textId="77777777" w:rsidR="00A540B9" w:rsidRPr="008861C9" w:rsidRDefault="00A540B9" w:rsidP="007653A4">
      <w:pPr>
        <w:pStyle w:val="Lijstnummering"/>
        <w:numPr>
          <w:ilvl w:val="0"/>
          <w:numId w:val="0"/>
        </w:numPr>
        <w:rPr>
          <w:i/>
        </w:rPr>
      </w:pPr>
      <w:r w:rsidRPr="008861C9">
        <w:rPr>
          <w:i/>
        </w:rPr>
        <w:t>Woninginbraken</w:t>
      </w:r>
    </w:p>
    <w:p w14:paraId="781F2B48" w14:textId="77777777" w:rsidR="00C352DE" w:rsidRDefault="00C352DE" w:rsidP="007653A4">
      <w:pPr>
        <w:pStyle w:val="Lijstnummering"/>
        <w:numPr>
          <w:ilvl w:val="0"/>
          <w:numId w:val="0"/>
        </w:numPr>
      </w:pPr>
      <w:r>
        <w:t xml:space="preserve">Een beperkt aantal jongeren is verantwoordelijk voor een groot deel van de woninginbraken in de stad. Hierbij is de groep van Marokkaans-Nederlandse </w:t>
      </w:r>
    </w:p>
    <w:p w14:paraId="58227AB5" w14:textId="50CED81F" w:rsidR="00D90A5B" w:rsidRDefault="00C352DE" w:rsidP="007653A4">
      <w:pPr>
        <w:pStyle w:val="Lijstnummering"/>
        <w:numPr>
          <w:ilvl w:val="0"/>
          <w:numId w:val="0"/>
        </w:numPr>
      </w:pPr>
      <w:r>
        <w:t xml:space="preserve">jongeren oververtegenwoordigd. In de komende jaren wordt de focus op de daders </w:t>
      </w:r>
      <w:r w:rsidR="008B127C">
        <w:t>geïntensiveerd</w:t>
      </w:r>
      <w:r>
        <w:t xml:space="preserve"> om zo de criminaliteit</w:t>
      </w:r>
      <w:r w:rsidR="008B127C">
        <w:t xml:space="preserve"> verder</w:t>
      </w:r>
      <w:r>
        <w:t xml:space="preserve"> terug te dringen.</w:t>
      </w:r>
    </w:p>
    <w:p w14:paraId="135F53AC" w14:textId="61C61977" w:rsidR="00C352DE" w:rsidRDefault="008B127C" w:rsidP="007653A4">
      <w:pPr>
        <w:pStyle w:val="Lijstnummering"/>
        <w:numPr>
          <w:ilvl w:val="0"/>
          <w:numId w:val="0"/>
        </w:numPr>
      </w:pPr>
      <w:r>
        <w:t xml:space="preserve">In </w:t>
      </w:r>
      <w:r w:rsidR="00C352DE">
        <w:t xml:space="preserve">de Top60 staan tussen de 60-70 jongeren waarvan de grootste groep tussen de 21-25 jaar is. De Top60 jongeren zijn zowel actief in het plegen van woninginbraken als in de drugshandel. Woninginbraak wordt door de politie gezien als instap in een criminele carrière. </w:t>
      </w:r>
    </w:p>
    <w:p w14:paraId="4B19A754" w14:textId="77777777" w:rsidR="00F733D2" w:rsidRDefault="00CF3DBD" w:rsidP="007653A4">
      <w:pPr>
        <w:pStyle w:val="Lijstnummering"/>
        <w:numPr>
          <w:ilvl w:val="0"/>
          <w:numId w:val="0"/>
        </w:numPr>
      </w:pPr>
      <w:r>
        <w:t>Naast de bovengenoemde aanpak van daders zetten gemeente, politie en andere partners ook in op het voorkomen van inbraak</w:t>
      </w:r>
      <w:r w:rsidR="00A518B5">
        <w:t xml:space="preserve"> door </w:t>
      </w:r>
      <w:r w:rsidR="008873FC">
        <w:t xml:space="preserve">het </w:t>
      </w:r>
      <w:r w:rsidR="00A540B9">
        <w:t>subsidiëren</w:t>
      </w:r>
      <w:r w:rsidR="008873FC">
        <w:t xml:space="preserve"> van</w:t>
      </w:r>
    </w:p>
    <w:p w14:paraId="3235240C" w14:textId="77777777" w:rsidR="00F733D2" w:rsidRDefault="00CD0FB8" w:rsidP="007653A4">
      <w:pPr>
        <w:pStyle w:val="Lijstnummering"/>
        <w:numPr>
          <w:ilvl w:val="0"/>
          <w:numId w:val="0"/>
        </w:numPr>
      </w:pPr>
      <w:proofErr w:type="spellStart"/>
      <w:r>
        <w:t>inbraakwerende</w:t>
      </w:r>
      <w:proofErr w:type="spellEnd"/>
      <w:r>
        <w:t xml:space="preserve"> maatregelen (m.n. </w:t>
      </w:r>
      <w:r w:rsidR="00CF3DBD">
        <w:t>hang</w:t>
      </w:r>
      <w:r>
        <w:t xml:space="preserve">- en </w:t>
      </w:r>
      <w:r w:rsidR="00CF3DBD">
        <w:t>sluitwerk</w:t>
      </w:r>
      <w:r>
        <w:t xml:space="preserve">), het stimuleren van </w:t>
      </w:r>
      <w:r w:rsidR="00CF3DBD">
        <w:t>privaat cameratoezicht</w:t>
      </w:r>
      <w:r w:rsidR="005F7CE6">
        <w:t xml:space="preserve"> en het verst</w:t>
      </w:r>
      <w:r>
        <w:t>r</w:t>
      </w:r>
      <w:r w:rsidR="005F7CE6">
        <w:t>e</w:t>
      </w:r>
      <w:r>
        <w:t>k</w:t>
      </w:r>
      <w:r w:rsidR="005F7CE6">
        <w:t>ken van</w:t>
      </w:r>
      <w:r>
        <w:t xml:space="preserve"> gericht preventieadvies aan </w:t>
      </w:r>
    </w:p>
    <w:p w14:paraId="3BB4B4BB" w14:textId="77777777" w:rsidR="00F733D2" w:rsidRDefault="00CD0FB8" w:rsidP="007653A4">
      <w:pPr>
        <w:pStyle w:val="Lijstnummering"/>
        <w:numPr>
          <w:ilvl w:val="0"/>
          <w:numId w:val="0"/>
        </w:numPr>
      </w:pPr>
      <w:r>
        <w:t xml:space="preserve">bewoners. De meldingsbereidheid wordt op diverse manieren gestimuleerd en ook worden bewoners op hun eigen verantwoordelijkheid gewezen in bijv. het </w:t>
      </w:r>
    </w:p>
    <w:p w14:paraId="1E8631A4" w14:textId="77777777" w:rsidR="00F733D2" w:rsidRDefault="00CD0FB8" w:rsidP="007653A4">
      <w:pPr>
        <w:pStyle w:val="Lijstnummering"/>
        <w:numPr>
          <w:ilvl w:val="0"/>
          <w:numId w:val="0"/>
        </w:numPr>
      </w:pPr>
      <w:r>
        <w:t>goed afsluiten van de woning.</w:t>
      </w:r>
      <w:r w:rsidR="005F7CE6">
        <w:t xml:space="preserve"> D</w:t>
      </w:r>
      <w:r w:rsidR="00A518B5">
        <w:t>e fysieke omgeving</w:t>
      </w:r>
      <w:r>
        <w:t xml:space="preserve"> </w:t>
      </w:r>
      <w:r w:rsidR="005F7CE6">
        <w:t xml:space="preserve">wordt daarbij niet uit het oog verloren: met </w:t>
      </w:r>
      <w:r>
        <w:t xml:space="preserve">het snoeien van groen, verlichting en het afsluiten van </w:t>
      </w:r>
    </w:p>
    <w:p w14:paraId="12528F9C" w14:textId="4D6DBB64" w:rsidR="00F35C7C" w:rsidRDefault="00CD0FB8" w:rsidP="007653A4">
      <w:pPr>
        <w:pStyle w:val="Lijstnummering"/>
        <w:numPr>
          <w:ilvl w:val="0"/>
          <w:numId w:val="0"/>
        </w:numPr>
      </w:pPr>
      <w:r>
        <w:t>ach</w:t>
      </w:r>
      <w:r w:rsidR="005F7CE6">
        <w:t>terpaden worden hotspots veiliger gemaakt.</w:t>
      </w:r>
      <w:r w:rsidR="005D5FC4">
        <w:t xml:space="preserve"> </w:t>
      </w:r>
      <w:r w:rsidR="00F35C7C">
        <w:t>Iedere a</w:t>
      </w:r>
      <w:r w:rsidR="005D5FC4">
        <w:t>fdeling binnen de gemeente die zich bezighoud</w:t>
      </w:r>
      <w:r w:rsidR="008B127C">
        <w:t>t</w:t>
      </w:r>
      <w:r w:rsidR="005D5FC4">
        <w:t xml:space="preserve"> met de inrichting en het onderhoud van de </w:t>
      </w:r>
    </w:p>
    <w:p w14:paraId="4F3A2F06" w14:textId="727847A4" w:rsidR="00464077" w:rsidRDefault="005D5FC4" w:rsidP="007653A4">
      <w:pPr>
        <w:pStyle w:val="Lijstnummering"/>
        <w:numPr>
          <w:ilvl w:val="0"/>
          <w:numId w:val="0"/>
        </w:numPr>
      </w:pPr>
      <w:r>
        <w:t>openbare ruimte word</w:t>
      </w:r>
      <w:r w:rsidR="00F35C7C">
        <w:t>t</w:t>
      </w:r>
      <w:r>
        <w:t xml:space="preserve"> nadrukkelijk gevraagd hier </w:t>
      </w:r>
      <w:r w:rsidR="00F35C7C">
        <w:t>een</w:t>
      </w:r>
      <w:r>
        <w:t xml:space="preserve"> bijdrage aan te leveren.</w:t>
      </w:r>
      <w:r w:rsidR="00464077">
        <w:t xml:space="preserve"> De beoogde</w:t>
      </w:r>
      <w:r w:rsidR="00960F16">
        <w:t>,</w:t>
      </w:r>
      <w:r w:rsidR="00464077">
        <w:t xml:space="preserve"> ambitieuze daling van het aantal woninginbraken met 10% per </w:t>
      </w:r>
    </w:p>
    <w:p w14:paraId="1D2B33E7" w14:textId="40F5CC56" w:rsidR="00CF3DBD" w:rsidRDefault="00464077" w:rsidP="007653A4">
      <w:pPr>
        <w:pStyle w:val="Lijstnummering"/>
        <w:numPr>
          <w:ilvl w:val="0"/>
          <w:numId w:val="0"/>
        </w:numPr>
      </w:pPr>
      <w:r>
        <w:t>jaar wordt ook in d</w:t>
      </w:r>
      <w:r w:rsidR="00960F16">
        <w:t xml:space="preserve">e komende jaren </w:t>
      </w:r>
      <w:r>
        <w:t>gehandhaafd.</w:t>
      </w:r>
    </w:p>
    <w:p w14:paraId="1D72D7CC" w14:textId="77777777" w:rsidR="00C352DE" w:rsidRDefault="00C352DE" w:rsidP="007653A4">
      <w:pPr>
        <w:pStyle w:val="Lijstnummering"/>
        <w:numPr>
          <w:ilvl w:val="0"/>
          <w:numId w:val="0"/>
        </w:numPr>
      </w:pPr>
    </w:p>
    <w:p w14:paraId="59CD6D66" w14:textId="77777777" w:rsidR="00C352DE" w:rsidRPr="008861C9" w:rsidRDefault="00C352DE" w:rsidP="007653A4">
      <w:pPr>
        <w:pStyle w:val="Lijstnummering"/>
        <w:numPr>
          <w:ilvl w:val="0"/>
          <w:numId w:val="0"/>
        </w:numPr>
        <w:rPr>
          <w:i/>
        </w:rPr>
      </w:pPr>
      <w:r w:rsidRPr="008861C9">
        <w:rPr>
          <w:i/>
        </w:rPr>
        <w:t>Drugsproblematiek</w:t>
      </w:r>
    </w:p>
    <w:p w14:paraId="3B1D2414" w14:textId="25629412" w:rsidR="000B1708" w:rsidRDefault="00C352DE" w:rsidP="007653A4">
      <w:pPr>
        <w:pStyle w:val="Lijstnummering"/>
        <w:numPr>
          <w:ilvl w:val="0"/>
          <w:numId w:val="0"/>
        </w:numPr>
      </w:pPr>
      <w:r>
        <w:t xml:space="preserve">De aanpak op jeugdcriminaliteit bestaat </w:t>
      </w:r>
      <w:r w:rsidR="003479EA">
        <w:t>uit een mix van maatregelen op h</w:t>
      </w:r>
      <w:r>
        <w:t>e</w:t>
      </w:r>
      <w:r w:rsidR="003479EA">
        <w:t>t</w:t>
      </w:r>
      <w:r>
        <w:t xml:space="preserve"> individu (begeleiding, inzet stadsmarinier, Top60) en op de groep (groepsscan, toezicht door stadstoezicht en politie), en is zowel preventief (PIT, jongerenwerk, </w:t>
      </w:r>
      <w:proofErr w:type="spellStart"/>
      <w:r>
        <w:t>risicojongerenoverleg</w:t>
      </w:r>
      <w:proofErr w:type="spellEnd"/>
      <w:r>
        <w:t xml:space="preserve">) als repressief (bestuurlijke maatregelen, aanpak heling). Uit twee recente groepsscans die door politie en gemeente gehouden zijn in </w:t>
      </w:r>
      <w:proofErr w:type="spellStart"/>
      <w:r>
        <w:t>Goverwelle</w:t>
      </w:r>
      <w:proofErr w:type="spellEnd"/>
      <w:r>
        <w:t xml:space="preserve"> en Korte Akkeren komt het beeld naar voren van een netwerk </w:t>
      </w:r>
      <w:r w:rsidR="000B1708">
        <w:t>v</w:t>
      </w:r>
      <w:r>
        <w:t xml:space="preserve">an harde kern jongeren met daaromheen een schil van </w:t>
      </w:r>
      <w:proofErr w:type="spellStart"/>
      <w:r>
        <w:t>overlastgevende</w:t>
      </w:r>
      <w:proofErr w:type="spellEnd"/>
      <w:r>
        <w:t xml:space="preserve"> jongeren. Een deel van dit netwerk heeft inkomsten uit drugshandel. Om goed zich</w:t>
      </w:r>
      <w:r w:rsidR="00B25801">
        <w:t>t</w:t>
      </w:r>
      <w:r>
        <w:t xml:space="preserve"> te krijgen op de omvang van de drugshandel door Goudse jongeren wordt </w:t>
      </w:r>
      <w:r w:rsidR="008B127C">
        <w:t xml:space="preserve">in 2019 </w:t>
      </w:r>
      <w:r>
        <w:t>een verdiepend onderzoek uitgevoerd</w:t>
      </w:r>
      <w:r w:rsidR="008B127C">
        <w:t xml:space="preserve"> </w:t>
      </w:r>
      <w:r>
        <w:t>en op basis daarvan wordt de aanpak doorontwikkeld.</w:t>
      </w:r>
      <w:r w:rsidR="009755E3">
        <w:t xml:space="preserve"> Naast drugshandel gaat het hierbij ook om drugverslaving onder deze jongeren.</w:t>
      </w:r>
      <w:r w:rsidR="00CC373A">
        <w:t xml:space="preserve"> Door communicatie met de buurt, nadat een  hennepkwekerij in een woning of bedrijfspand is aangetroffen, worden bewoners bewust gemaakt van de problematiek.</w:t>
      </w:r>
    </w:p>
    <w:p w14:paraId="50EA4A2D" w14:textId="77777777" w:rsidR="000B1708" w:rsidRDefault="00637E55" w:rsidP="000B1708">
      <w:pPr>
        <w:pStyle w:val="Lijstnummering"/>
        <w:numPr>
          <w:ilvl w:val="0"/>
          <w:numId w:val="0"/>
        </w:numPr>
        <w:rPr>
          <w:i/>
        </w:rPr>
      </w:pPr>
      <w:r w:rsidRPr="008861C9">
        <w:rPr>
          <w:i/>
        </w:rPr>
        <w:t>Radicalisering</w:t>
      </w:r>
    </w:p>
    <w:p w14:paraId="45FBFB05" w14:textId="472C8AF8" w:rsidR="00C86E44" w:rsidRPr="00C4655B" w:rsidRDefault="00C86E44" w:rsidP="000B1708">
      <w:pPr>
        <w:pStyle w:val="Lijstnummering"/>
        <w:numPr>
          <w:ilvl w:val="0"/>
          <w:numId w:val="0"/>
        </w:numPr>
        <w:rPr>
          <w:rFonts w:cs="Arial"/>
        </w:rPr>
      </w:pPr>
      <w:r w:rsidRPr="00C4655B">
        <w:rPr>
          <w:rFonts w:cs="Arial"/>
          <w:color w:val="000000"/>
        </w:rPr>
        <w:t>De gemeente blijft zich inzetten op voorlichting aan en bewustwording van haar inwoners als het gaat om de gevaren van radicalisering en extremisme. Dit gebeurt op verschillende niveaus. Zo zijn er allerlei samenwerkingen met invloedrijke en betrokken bewoners en organisaties in de stad en vindt er een structureel overleg plaats tussen de drie moskeeën van Gouda en de burgemeester. Vanuit het netwerk worden verschillende activiteiten in de stad georganiseerd.</w:t>
      </w:r>
    </w:p>
    <w:p w14:paraId="7369811C" w14:textId="48568028" w:rsidR="00C86E44" w:rsidRPr="00AC5F90" w:rsidRDefault="00C86E44" w:rsidP="007653A4">
      <w:pPr>
        <w:spacing w:before="100" w:beforeAutospacing="1" w:after="100" w:afterAutospacing="1"/>
        <w:rPr>
          <w:rFonts w:eastAsiaTheme="minorHAnsi" w:cs="Arial"/>
        </w:rPr>
      </w:pPr>
      <w:r w:rsidRPr="00C4655B">
        <w:rPr>
          <w:rFonts w:cs="Arial"/>
          <w:color w:val="000000"/>
        </w:rPr>
        <w:t xml:space="preserve">Via de persoonsgerichte aanpak wordt </w:t>
      </w:r>
      <w:r w:rsidRPr="00C4655B">
        <w:rPr>
          <w:rFonts w:cs="Arial"/>
        </w:rPr>
        <w:t>het bestaande netwerk</w:t>
      </w:r>
      <w:r w:rsidR="00A8644C">
        <w:rPr>
          <w:rFonts w:cs="Arial"/>
        </w:rPr>
        <w:t xml:space="preserve"> in beeld gebracht en gehouden</w:t>
      </w:r>
      <w:r w:rsidR="00C4655B">
        <w:rPr>
          <w:rFonts w:cs="Arial"/>
        </w:rPr>
        <w:t>,</w:t>
      </w:r>
      <w:r w:rsidRPr="00C4655B">
        <w:rPr>
          <w:rFonts w:cs="Arial"/>
        </w:rPr>
        <w:t xml:space="preserve"> maar </w:t>
      </w:r>
      <w:r w:rsidR="00884B6A">
        <w:rPr>
          <w:rFonts w:cs="Arial"/>
        </w:rPr>
        <w:t>wordt ook ingezet op het voorkomen</w:t>
      </w:r>
      <w:r w:rsidRPr="00C4655B">
        <w:rPr>
          <w:rFonts w:cs="Arial"/>
        </w:rPr>
        <w:t xml:space="preserve"> van nieuwe aanwas. Hierbij geldt een integrale benadering en wordt samengewerkt met diverse organisaties</w:t>
      </w:r>
      <w:r w:rsidR="00C4655B">
        <w:rPr>
          <w:rFonts w:cs="Arial"/>
        </w:rPr>
        <w:t xml:space="preserve"> in het sociaal </w:t>
      </w:r>
      <w:r w:rsidR="00884B6A">
        <w:rPr>
          <w:rFonts w:cs="Arial"/>
        </w:rPr>
        <w:t xml:space="preserve">domein </w:t>
      </w:r>
      <w:r w:rsidR="00C4655B">
        <w:rPr>
          <w:rFonts w:cs="Arial"/>
        </w:rPr>
        <w:t xml:space="preserve">en </w:t>
      </w:r>
      <w:r w:rsidR="00143DAF">
        <w:rPr>
          <w:rFonts w:cs="Arial"/>
        </w:rPr>
        <w:t xml:space="preserve">het </w:t>
      </w:r>
      <w:r w:rsidR="00C4655B">
        <w:rPr>
          <w:rFonts w:cs="Arial"/>
        </w:rPr>
        <w:t>veiligheidsdomein</w:t>
      </w:r>
      <w:r w:rsidRPr="00C4655B">
        <w:rPr>
          <w:rFonts w:cs="Arial"/>
        </w:rPr>
        <w:t>. </w:t>
      </w:r>
      <w:r w:rsidRPr="00C4655B">
        <w:rPr>
          <w:rFonts w:cs="Arial"/>
          <w:color w:val="000000"/>
        </w:rPr>
        <w:t xml:space="preserve">Naast het </w:t>
      </w:r>
      <w:r w:rsidR="00FE3FFA">
        <w:rPr>
          <w:rFonts w:cs="Arial"/>
          <w:color w:val="000000"/>
        </w:rPr>
        <w:t>v</w:t>
      </w:r>
      <w:r w:rsidRPr="00C4655B">
        <w:rPr>
          <w:rFonts w:cs="Arial"/>
          <w:color w:val="000000"/>
        </w:rPr>
        <w:t xml:space="preserve">oorbereid zijn op mogelijke </w:t>
      </w:r>
      <w:proofErr w:type="spellStart"/>
      <w:r w:rsidRPr="00C4655B">
        <w:rPr>
          <w:rFonts w:cs="Arial"/>
          <w:color w:val="000000"/>
        </w:rPr>
        <w:t>terugkeerders</w:t>
      </w:r>
      <w:proofErr w:type="spellEnd"/>
      <w:r w:rsidRPr="00C4655B">
        <w:rPr>
          <w:rFonts w:cs="Arial"/>
          <w:color w:val="000000"/>
        </w:rPr>
        <w:t xml:space="preserve"> wordt de komende periode </w:t>
      </w:r>
      <w:r w:rsidR="00175779">
        <w:rPr>
          <w:rFonts w:cs="Arial"/>
          <w:color w:val="000000"/>
        </w:rPr>
        <w:t xml:space="preserve">ook breder </w:t>
      </w:r>
      <w:r w:rsidRPr="00C4655B">
        <w:rPr>
          <w:rFonts w:cs="Arial"/>
          <w:color w:val="000000"/>
        </w:rPr>
        <w:t>ingezet op</w:t>
      </w:r>
      <w:r w:rsidR="00175779">
        <w:rPr>
          <w:rFonts w:cs="Arial"/>
          <w:color w:val="000000"/>
        </w:rPr>
        <w:t xml:space="preserve"> het</w:t>
      </w:r>
      <w:r w:rsidRPr="00C4655B">
        <w:rPr>
          <w:rFonts w:cs="Arial"/>
          <w:color w:val="000000"/>
        </w:rPr>
        <w:t> </w:t>
      </w:r>
      <w:r w:rsidR="00B25801">
        <w:rPr>
          <w:rFonts w:cs="Arial"/>
          <w:color w:val="000000"/>
        </w:rPr>
        <w:t xml:space="preserve">voorkomen en tegengaan van </w:t>
      </w:r>
      <w:r w:rsidRPr="00C4655B">
        <w:rPr>
          <w:rFonts w:cs="Arial"/>
        </w:rPr>
        <w:t>problematisch gedrag van de doelgroep</w:t>
      </w:r>
      <w:r w:rsidR="00625B32">
        <w:rPr>
          <w:rFonts w:cs="Arial"/>
        </w:rPr>
        <w:t>,</w:t>
      </w:r>
      <w:r w:rsidRPr="00C4655B">
        <w:rPr>
          <w:rFonts w:cs="Arial"/>
        </w:rPr>
        <w:t xml:space="preserve"> dat ondermijnend kan zijn voor de democratische rechts</w:t>
      </w:r>
      <w:r w:rsidR="00C079B9">
        <w:rPr>
          <w:rFonts w:cs="Arial"/>
        </w:rPr>
        <w:t>s</w:t>
      </w:r>
      <w:r w:rsidRPr="00C4655B">
        <w:rPr>
          <w:rFonts w:cs="Arial"/>
        </w:rPr>
        <w:t>taat</w:t>
      </w:r>
    </w:p>
    <w:p w14:paraId="49656B62" w14:textId="77AD319A" w:rsidR="00B72A4D" w:rsidRPr="008861C9" w:rsidRDefault="00B72A4D" w:rsidP="007653A4">
      <w:pPr>
        <w:rPr>
          <w:i/>
        </w:rPr>
      </w:pPr>
      <w:r w:rsidRPr="008861C9">
        <w:rPr>
          <w:i/>
        </w:rPr>
        <w:t>Polarisatie</w:t>
      </w:r>
    </w:p>
    <w:p w14:paraId="52D575C7" w14:textId="78736004" w:rsidR="00CF7849" w:rsidRDefault="007E659F" w:rsidP="007653A4">
      <w:pPr>
        <w:pStyle w:val="Default"/>
        <w:rPr>
          <w:sz w:val="20"/>
          <w:szCs w:val="20"/>
        </w:rPr>
      </w:pPr>
      <w:r>
        <w:rPr>
          <w:sz w:val="20"/>
          <w:szCs w:val="20"/>
        </w:rPr>
        <w:t xml:space="preserve">Lokale en </w:t>
      </w:r>
      <w:r w:rsidR="0085403B">
        <w:rPr>
          <w:sz w:val="20"/>
          <w:szCs w:val="20"/>
        </w:rPr>
        <w:t>(</w:t>
      </w:r>
      <w:proofErr w:type="spellStart"/>
      <w:r w:rsidR="0085403B">
        <w:rPr>
          <w:sz w:val="20"/>
          <w:szCs w:val="20"/>
        </w:rPr>
        <w:t>inter</w:t>
      </w:r>
      <w:proofErr w:type="spellEnd"/>
      <w:r w:rsidR="0085403B">
        <w:rPr>
          <w:sz w:val="20"/>
          <w:szCs w:val="20"/>
        </w:rPr>
        <w:t xml:space="preserve">)nationale </w:t>
      </w:r>
      <w:r>
        <w:rPr>
          <w:sz w:val="20"/>
          <w:szCs w:val="20"/>
        </w:rPr>
        <w:t>spanningen tussen bevolkingsgroepen geven een toenemende kans op polarisatie</w:t>
      </w:r>
      <w:r w:rsidR="0085403B">
        <w:rPr>
          <w:sz w:val="20"/>
          <w:szCs w:val="20"/>
        </w:rPr>
        <w:t xml:space="preserve"> in de samenleving</w:t>
      </w:r>
      <w:r>
        <w:rPr>
          <w:sz w:val="20"/>
          <w:szCs w:val="20"/>
        </w:rPr>
        <w:t xml:space="preserve">. </w:t>
      </w:r>
      <w:r w:rsidR="0085403B">
        <w:rPr>
          <w:sz w:val="20"/>
          <w:szCs w:val="20"/>
        </w:rPr>
        <w:t>Ook i</w:t>
      </w:r>
      <w:r>
        <w:rPr>
          <w:sz w:val="20"/>
          <w:szCs w:val="20"/>
        </w:rPr>
        <w:t xml:space="preserve">n sommige </w:t>
      </w:r>
      <w:r w:rsidR="0085403B">
        <w:rPr>
          <w:sz w:val="20"/>
          <w:szCs w:val="20"/>
        </w:rPr>
        <w:t xml:space="preserve">Goudse </w:t>
      </w:r>
      <w:r>
        <w:rPr>
          <w:sz w:val="20"/>
          <w:szCs w:val="20"/>
        </w:rPr>
        <w:t>buurten worden deze signalen gehoord. Er is dan met name sprake van onbegrip</w:t>
      </w:r>
      <w:r w:rsidR="00CF7849">
        <w:rPr>
          <w:sz w:val="20"/>
          <w:szCs w:val="20"/>
        </w:rPr>
        <w:t xml:space="preserve"> tussen bewoners in een straat of</w:t>
      </w:r>
      <w:r>
        <w:rPr>
          <w:sz w:val="20"/>
          <w:szCs w:val="20"/>
        </w:rPr>
        <w:t xml:space="preserve"> spanningen rondom gebruik van de op</w:t>
      </w:r>
      <w:r w:rsidR="00637E55">
        <w:rPr>
          <w:sz w:val="20"/>
          <w:szCs w:val="20"/>
        </w:rPr>
        <w:t>enbare ruimte of speelplekken. Momenteel worden op pilot-basis diverse maatregelen genomen om op buurtniveau polarisatie te voorkomen</w:t>
      </w:r>
      <w:r w:rsidR="00175779">
        <w:rPr>
          <w:sz w:val="20"/>
          <w:szCs w:val="20"/>
        </w:rPr>
        <w:t xml:space="preserve"> en tegen te gaan</w:t>
      </w:r>
      <w:r w:rsidR="00637E55">
        <w:rPr>
          <w:sz w:val="20"/>
          <w:szCs w:val="20"/>
        </w:rPr>
        <w:t>.</w:t>
      </w:r>
    </w:p>
    <w:p w14:paraId="3BC39B23" w14:textId="57EA6108" w:rsidR="00637E55" w:rsidRDefault="00CF7849" w:rsidP="007653A4">
      <w:pPr>
        <w:pStyle w:val="Default"/>
        <w:rPr>
          <w:sz w:val="20"/>
          <w:szCs w:val="20"/>
        </w:rPr>
      </w:pPr>
      <w:r>
        <w:rPr>
          <w:sz w:val="20"/>
          <w:szCs w:val="20"/>
        </w:rPr>
        <w:t>De</w:t>
      </w:r>
      <w:r w:rsidR="00637E55">
        <w:rPr>
          <w:sz w:val="20"/>
          <w:szCs w:val="20"/>
        </w:rPr>
        <w:t xml:space="preserve"> activiteiten</w:t>
      </w:r>
      <w:r>
        <w:rPr>
          <w:sz w:val="20"/>
          <w:szCs w:val="20"/>
        </w:rPr>
        <w:t xml:space="preserve"> van </w:t>
      </w:r>
      <w:r w:rsidR="00C4655B">
        <w:rPr>
          <w:sz w:val="20"/>
          <w:szCs w:val="20"/>
        </w:rPr>
        <w:t xml:space="preserve">Goudse </w:t>
      </w:r>
      <w:r>
        <w:rPr>
          <w:sz w:val="20"/>
          <w:szCs w:val="20"/>
        </w:rPr>
        <w:t xml:space="preserve">aanhangers van extreem-links of </w:t>
      </w:r>
      <w:r w:rsidR="00FD260D">
        <w:rPr>
          <w:sz w:val="20"/>
          <w:szCs w:val="20"/>
        </w:rPr>
        <w:t>extreemrechts</w:t>
      </w:r>
      <w:r>
        <w:rPr>
          <w:sz w:val="20"/>
          <w:szCs w:val="20"/>
        </w:rPr>
        <w:t xml:space="preserve"> g</w:t>
      </w:r>
      <w:r w:rsidR="00C4655B">
        <w:rPr>
          <w:sz w:val="20"/>
          <w:szCs w:val="20"/>
        </w:rPr>
        <w:t>edachtengoed</w:t>
      </w:r>
      <w:r>
        <w:rPr>
          <w:sz w:val="20"/>
          <w:szCs w:val="20"/>
        </w:rPr>
        <w:t xml:space="preserve"> worden gemonito</w:t>
      </w:r>
      <w:r w:rsidR="00637E55">
        <w:rPr>
          <w:sz w:val="20"/>
          <w:szCs w:val="20"/>
        </w:rPr>
        <w:t>rd door politie en jongerenwerk. In 2019 wordt de omvang nader geanalyseerd en geduid.</w:t>
      </w:r>
      <w:r>
        <w:rPr>
          <w:sz w:val="20"/>
          <w:szCs w:val="20"/>
        </w:rPr>
        <w:t xml:space="preserve"> Op dit moment </w:t>
      </w:r>
      <w:r w:rsidR="004D35B9">
        <w:rPr>
          <w:sz w:val="20"/>
          <w:szCs w:val="20"/>
        </w:rPr>
        <w:t>i</w:t>
      </w:r>
      <w:r>
        <w:rPr>
          <w:sz w:val="20"/>
          <w:szCs w:val="20"/>
        </w:rPr>
        <w:t>s</w:t>
      </w:r>
      <w:r w:rsidR="004D35B9">
        <w:rPr>
          <w:sz w:val="20"/>
          <w:szCs w:val="20"/>
        </w:rPr>
        <w:t xml:space="preserve"> er een zeer gering aantal personen in beeld bij politie.</w:t>
      </w:r>
    </w:p>
    <w:p w14:paraId="5A2351E6" w14:textId="77777777" w:rsidR="00ED3D5D" w:rsidRDefault="007E659F" w:rsidP="007653A4">
      <w:pPr>
        <w:pStyle w:val="Default"/>
        <w:rPr>
          <w:sz w:val="20"/>
          <w:szCs w:val="20"/>
        </w:rPr>
      </w:pPr>
      <w:r>
        <w:rPr>
          <w:sz w:val="20"/>
          <w:szCs w:val="20"/>
        </w:rPr>
        <w:t xml:space="preserve"> </w:t>
      </w:r>
    </w:p>
    <w:p w14:paraId="1809C9A3" w14:textId="28B8994D" w:rsidR="00174CA0" w:rsidRDefault="00944DB0" w:rsidP="0066599F">
      <w:pPr>
        <w:pStyle w:val="Lijstnummering"/>
        <w:numPr>
          <w:ilvl w:val="0"/>
          <w:numId w:val="0"/>
        </w:numPr>
        <w:pBdr>
          <w:top w:val="single" w:sz="4" w:space="1" w:color="auto"/>
          <w:left w:val="single" w:sz="4" w:space="4" w:color="auto"/>
          <w:bottom w:val="single" w:sz="4" w:space="1" w:color="auto"/>
          <w:right w:val="single" w:sz="4" w:space="4" w:color="auto"/>
        </w:pBdr>
      </w:pPr>
      <w:r>
        <w:t>Doel</w:t>
      </w:r>
      <w:r w:rsidR="00EF6DDE">
        <w:t>en</w:t>
      </w:r>
      <w:r w:rsidR="0040059C">
        <w:t xml:space="preserve"> </w:t>
      </w:r>
      <w:r w:rsidR="0040059C" w:rsidRPr="0040059C">
        <w:t>Aanpak Jeugdcriminaliteit: focus op woninginbraken, drugscriminaliteit, radicalisering</w:t>
      </w:r>
      <w:r>
        <w:t>:</w:t>
      </w:r>
    </w:p>
    <w:p w14:paraId="31F39A7E" w14:textId="77777777" w:rsidR="00550E85" w:rsidRDefault="00550E85" w:rsidP="0066599F">
      <w:pPr>
        <w:pStyle w:val="Lijstnummering"/>
        <w:numPr>
          <w:ilvl w:val="0"/>
          <w:numId w:val="0"/>
        </w:numPr>
        <w:pBdr>
          <w:top w:val="single" w:sz="4" w:space="1" w:color="auto"/>
          <w:left w:val="single" w:sz="4" w:space="4" w:color="auto"/>
          <w:bottom w:val="single" w:sz="4" w:space="1" w:color="auto"/>
          <w:right w:val="single" w:sz="4" w:space="4" w:color="auto"/>
        </w:pBdr>
      </w:pPr>
    </w:p>
    <w:p w14:paraId="4A8926F7" w14:textId="2DFF733E" w:rsidR="00944DB0" w:rsidRDefault="00EF6DDE"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Dalende lijn van</w:t>
      </w:r>
      <w:r w:rsidR="00944DB0">
        <w:t xml:space="preserve"> het aantal woninginbraken</w:t>
      </w:r>
      <w:r>
        <w:t xml:space="preserve"> behouden: </w:t>
      </w:r>
      <w:r w:rsidR="00C714F1">
        <w:t xml:space="preserve">streven naar </w:t>
      </w:r>
      <w:r>
        <w:t xml:space="preserve">daling </w:t>
      </w:r>
      <w:r w:rsidRPr="00175779">
        <w:t>van</w:t>
      </w:r>
      <w:r w:rsidR="00693084">
        <w:t xml:space="preserve"> 10</w:t>
      </w:r>
      <w:r w:rsidR="00944DB0" w:rsidRPr="00175779">
        <w:t>%</w:t>
      </w:r>
      <w:r w:rsidR="00944DB0">
        <w:t xml:space="preserve"> per jaar</w:t>
      </w:r>
    </w:p>
    <w:p w14:paraId="0312D9FE" w14:textId="37BA97EA" w:rsidR="00562D86" w:rsidRDefault="00EF6DDE"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O</w:t>
      </w:r>
      <w:r w:rsidR="00562D86">
        <w:t>ntwikkelen plan van aanpak op drugshandel na uitvoeren verdiepend onderzoek</w:t>
      </w:r>
      <w:r w:rsidR="00146CF1">
        <w:t xml:space="preserve"> in 2019</w:t>
      </w:r>
    </w:p>
    <w:p w14:paraId="05419382" w14:textId="72880C02" w:rsidR="00562D86" w:rsidRDefault="00EF6DDE"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V</w:t>
      </w:r>
      <w:r w:rsidR="00562D86">
        <w:t xml:space="preserve">oorbereid zijn op </w:t>
      </w:r>
      <w:proofErr w:type="spellStart"/>
      <w:r w:rsidR="00562D86">
        <w:t>terugkeerders</w:t>
      </w:r>
      <w:proofErr w:type="spellEnd"/>
      <w:r>
        <w:t xml:space="preserve"> uit strijdgebieden</w:t>
      </w:r>
    </w:p>
    <w:p w14:paraId="7D3766FF" w14:textId="6912036C" w:rsidR="00175779" w:rsidRDefault="00A8644C"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 xml:space="preserve">Monitoren </w:t>
      </w:r>
      <w:r w:rsidR="00C714F1">
        <w:t>extremistische</w:t>
      </w:r>
      <w:r w:rsidR="00175779">
        <w:t xml:space="preserve"> netwerk</w:t>
      </w:r>
      <w:r w:rsidR="00C714F1">
        <w:t>en</w:t>
      </w:r>
      <w:r w:rsidR="00175779">
        <w:t xml:space="preserve"> middels persoonsgerichte aanpak</w:t>
      </w:r>
    </w:p>
    <w:p w14:paraId="3FC4987A" w14:textId="41A3A7EC" w:rsidR="00562D86" w:rsidRDefault="00EF6DDE"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T</w:t>
      </w:r>
      <w:r w:rsidR="00562D86">
        <w:t>egengaan van polarisatie tussen</w:t>
      </w:r>
      <w:r>
        <w:t xml:space="preserve"> diverse</w:t>
      </w:r>
      <w:r w:rsidR="00562D86">
        <w:t xml:space="preserve"> bevolkingsgroepen</w:t>
      </w:r>
      <w:r w:rsidR="00146CF1">
        <w:t xml:space="preserve"> en individuen </w:t>
      </w:r>
    </w:p>
    <w:p w14:paraId="5C1FCE13" w14:textId="73995976" w:rsidR="00EF6DDE" w:rsidRDefault="00EF6DDE"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Preventieve inzet op risicojongeren</w:t>
      </w:r>
      <w:r w:rsidR="00146CF1">
        <w:t xml:space="preserve"> door inzet</w:t>
      </w:r>
      <w:r w:rsidR="00422976">
        <w:t xml:space="preserve"> PIT</w:t>
      </w:r>
    </w:p>
    <w:p w14:paraId="309DA9CA" w14:textId="61461E68" w:rsidR="006A7E7A" w:rsidRDefault="00422976"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V</w:t>
      </w:r>
      <w:r w:rsidR="006A7E7A">
        <w:t xml:space="preserve">eiligheidsdomein </w:t>
      </w:r>
      <w:r w:rsidR="00146CF1">
        <w:t>en zorgdomein werken samen</w:t>
      </w:r>
      <w:r w:rsidR="00CB69A4">
        <w:t xml:space="preserve"> waar nodig</w:t>
      </w:r>
      <w:r w:rsidR="00146CF1">
        <w:t xml:space="preserve"> </w:t>
      </w:r>
      <w:r w:rsidR="00693D6A">
        <w:t>volgens het principe</w:t>
      </w:r>
      <w:r w:rsidR="006A7E7A">
        <w:t xml:space="preserve"> 1g1p1r</w:t>
      </w:r>
      <w:r w:rsidR="00146CF1">
        <w:t xml:space="preserve"> (1 gezin, 1 plan, 1 regisseur)</w:t>
      </w:r>
    </w:p>
    <w:p w14:paraId="336F29F4" w14:textId="0B51C25B" w:rsidR="006A7E7A" w:rsidRDefault="00693D6A" w:rsidP="0066599F">
      <w:pPr>
        <w:pStyle w:val="Lijstnummering"/>
        <w:numPr>
          <w:ilvl w:val="0"/>
          <w:numId w:val="23"/>
        </w:numPr>
        <w:pBdr>
          <w:top w:val="single" w:sz="4" w:space="1" w:color="auto"/>
          <w:left w:val="single" w:sz="4" w:space="4" w:color="auto"/>
          <w:bottom w:val="single" w:sz="4" w:space="1" w:color="auto"/>
          <w:right w:val="single" w:sz="4" w:space="4" w:color="auto"/>
        </w:pBdr>
        <w:ind w:left="360" w:firstLine="0"/>
      </w:pPr>
      <w:r>
        <w:t>I</w:t>
      </w:r>
      <w:r w:rsidR="006A7E7A" w:rsidRPr="00422976">
        <w:t>nformatie</w:t>
      </w:r>
      <w:r w:rsidR="00422976">
        <w:t xml:space="preserve">deling over </w:t>
      </w:r>
      <w:r w:rsidR="006A7E7A" w:rsidRPr="00422976">
        <w:t>signaleren risicogedrag jeugd</w:t>
      </w:r>
      <w:r w:rsidR="00422976">
        <w:t xml:space="preserve"> </w:t>
      </w:r>
      <w:r>
        <w:t xml:space="preserve">is </w:t>
      </w:r>
      <w:r w:rsidR="00422976">
        <w:t>op orde</w:t>
      </w:r>
    </w:p>
    <w:p w14:paraId="741A5E45" w14:textId="2C1CB179" w:rsidR="00174CA0" w:rsidRDefault="00174CA0" w:rsidP="0066599F">
      <w:pPr>
        <w:pStyle w:val="Lijstnummering"/>
        <w:numPr>
          <w:ilvl w:val="0"/>
          <w:numId w:val="0"/>
        </w:numPr>
      </w:pPr>
    </w:p>
    <w:p w14:paraId="329F6571" w14:textId="341ADDA7" w:rsidR="00174CA0" w:rsidRDefault="00174CA0" w:rsidP="007653A4">
      <w:pPr>
        <w:pStyle w:val="Lijstnummering"/>
        <w:numPr>
          <w:ilvl w:val="0"/>
          <w:numId w:val="0"/>
        </w:numPr>
        <w:ind w:left="360"/>
      </w:pPr>
    </w:p>
    <w:p w14:paraId="233639CE" w14:textId="77777777" w:rsidR="00C33898" w:rsidRDefault="00C33898" w:rsidP="007653A4">
      <w:pPr>
        <w:pStyle w:val="Lijstnummering"/>
        <w:numPr>
          <w:ilvl w:val="0"/>
          <w:numId w:val="0"/>
        </w:numPr>
        <w:ind w:left="360"/>
      </w:pPr>
    </w:p>
    <w:p w14:paraId="673A2734" w14:textId="77777777" w:rsidR="00C33898" w:rsidRDefault="00C33898" w:rsidP="007653A4">
      <w:pPr>
        <w:pStyle w:val="Lijstnummering"/>
        <w:numPr>
          <w:ilvl w:val="0"/>
          <w:numId w:val="0"/>
        </w:numPr>
        <w:ind w:left="360"/>
      </w:pPr>
    </w:p>
    <w:p w14:paraId="3CFED413" w14:textId="77777777" w:rsidR="00C33898" w:rsidRDefault="00C33898" w:rsidP="007653A4">
      <w:pPr>
        <w:pStyle w:val="Lijstnummering"/>
        <w:numPr>
          <w:ilvl w:val="0"/>
          <w:numId w:val="0"/>
        </w:numPr>
        <w:ind w:left="360"/>
      </w:pPr>
    </w:p>
    <w:p w14:paraId="171AC31B" w14:textId="77777777" w:rsidR="00C33898" w:rsidRDefault="00C33898" w:rsidP="007653A4">
      <w:pPr>
        <w:pStyle w:val="Lijstnummering"/>
        <w:numPr>
          <w:ilvl w:val="0"/>
          <w:numId w:val="0"/>
        </w:numPr>
        <w:ind w:left="360"/>
      </w:pPr>
    </w:p>
    <w:p w14:paraId="78BBB35A" w14:textId="77777777" w:rsidR="00C33898" w:rsidRDefault="00C33898" w:rsidP="007653A4">
      <w:pPr>
        <w:pStyle w:val="Lijstnummering"/>
        <w:numPr>
          <w:ilvl w:val="0"/>
          <w:numId w:val="0"/>
        </w:numPr>
        <w:ind w:left="360"/>
      </w:pPr>
    </w:p>
    <w:p w14:paraId="4F40EEEB" w14:textId="77777777" w:rsidR="00C33898" w:rsidRDefault="00C33898" w:rsidP="0066599F">
      <w:pPr>
        <w:pStyle w:val="Lijstnummering"/>
        <w:numPr>
          <w:ilvl w:val="0"/>
          <w:numId w:val="0"/>
        </w:numPr>
      </w:pPr>
    </w:p>
    <w:p w14:paraId="1C28AA34" w14:textId="55E3EE9B" w:rsidR="00C33898" w:rsidRDefault="00C33898" w:rsidP="007653A4">
      <w:pPr>
        <w:pStyle w:val="Lijstnummering"/>
        <w:numPr>
          <w:ilvl w:val="0"/>
          <w:numId w:val="0"/>
        </w:numPr>
      </w:pPr>
    </w:p>
    <w:p w14:paraId="216AEBE2" w14:textId="5A4C437D" w:rsidR="001B3EA2" w:rsidRDefault="007C0068" w:rsidP="0066599F">
      <w:pPr>
        <w:pStyle w:val="Lijstnummering"/>
        <w:numPr>
          <w:ilvl w:val="0"/>
          <w:numId w:val="0"/>
        </w:numPr>
        <w:rPr>
          <w:b/>
        </w:rPr>
      </w:pPr>
      <w:r w:rsidRPr="00E4765B">
        <w:rPr>
          <w:b/>
        </w:rPr>
        <w:t>Tegengaan ondermijning</w:t>
      </w:r>
      <w:r w:rsidR="0022132A">
        <w:rPr>
          <w:b/>
        </w:rPr>
        <w:t>: 4 sporen</w:t>
      </w:r>
    </w:p>
    <w:p w14:paraId="66B1A7AD" w14:textId="408EDF5E" w:rsidR="001B3EA2" w:rsidRDefault="001B3EA2" w:rsidP="0066599F">
      <w:pPr>
        <w:pStyle w:val="Lijstnummering"/>
        <w:numPr>
          <w:ilvl w:val="0"/>
          <w:numId w:val="0"/>
        </w:numPr>
        <w:rPr>
          <w:b/>
        </w:rPr>
      </w:pPr>
    </w:p>
    <w:p w14:paraId="5F1650A0" w14:textId="0DCC906F" w:rsidR="00C33898" w:rsidRDefault="00F44104" w:rsidP="0066599F">
      <w:pPr>
        <w:pStyle w:val="Lijstnummering"/>
        <w:numPr>
          <w:ilvl w:val="0"/>
          <w:numId w:val="0"/>
        </w:numPr>
      </w:pPr>
      <w:r>
        <w:t xml:space="preserve">Sinds 2017 is in Gouda </w:t>
      </w:r>
      <w:r w:rsidR="0022132A">
        <w:t>d</w:t>
      </w:r>
      <w:r>
        <w:t xml:space="preserve">e aanpak om ondermijnende criminaliteit </w:t>
      </w:r>
    </w:p>
    <w:p w14:paraId="79DBF569" w14:textId="4BDC53AA" w:rsidR="0022132A" w:rsidRDefault="00F44104" w:rsidP="0066599F">
      <w:pPr>
        <w:pStyle w:val="Lijstnummering"/>
        <w:numPr>
          <w:ilvl w:val="0"/>
          <w:numId w:val="0"/>
        </w:numPr>
      </w:pPr>
      <w:r>
        <w:t>tegen te gaan</w:t>
      </w:r>
      <w:r w:rsidR="0022132A">
        <w:t xml:space="preserve"> geprioriteerd</w:t>
      </w:r>
      <w:r>
        <w:t xml:space="preserve">. Het is een maatschappelijk probleem </w:t>
      </w:r>
    </w:p>
    <w:p w14:paraId="12F1823D" w14:textId="14C6307F" w:rsidR="0022132A" w:rsidRDefault="00F44104" w:rsidP="0066599F">
      <w:pPr>
        <w:pStyle w:val="Lijstnummering"/>
        <w:numPr>
          <w:ilvl w:val="0"/>
          <w:numId w:val="0"/>
        </w:numPr>
      </w:pPr>
      <w:r>
        <w:t xml:space="preserve">wanneer de onderwereld en de bovenwereld zich met elkaar vermengen. </w:t>
      </w:r>
    </w:p>
    <w:p w14:paraId="52878BF4" w14:textId="77777777" w:rsidR="0022132A" w:rsidRDefault="00F44104" w:rsidP="0066599F">
      <w:pPr>
        <w:pStyle w:val="Lijstnummering"/>
        <w:numPr>
          <w:ilvl w:val="0"/>
          <w:numId w:val="0"/>
        </w:numPr>
      </w:pPr>
      <w:r>
        <w:t>De</w:t>
      </w:r>
      <w:r w:rsidR="00B25801">
        <w:t xml:space="preserve"> Goudse</w:t>
      </w:r>
      <w:r>
        <w:t xml:space="preserve"> integrale aanpak bestaat uit de volgende 4 sporen: </w:t>
      </w:r>
    </w:p>
    <w:p w14:paraId="6B12D3DD" w14:textId="77777777" w:rsidR="0022132A" w:rsidRDefault="00F44104" w:rsidP="0066599F">
      <w:pPr>
        <w:pStyle w:val="Lijstnummering"/>
        <w:numPr>
          <w:ilvl w:val="0"/>
          <w:numId w:val="0"/>
        </w:numPr>
      </w:pPr>
      <w:r>
        <w:t xml:space="preserve">knooppunten, hennepteelt en drugshandel, criminele netwerken en </w:t>
      </w:r>
    </w:p>
    <w:p w14:paraId="0F552FF4" w14:textId="77777777" w:rsidR="0022132A" w:rsidRDefault="00F44104" w:rsidP="0066599F">
      <w:pPr>
        <w:pStyle w:val="Lijstnummering"/>
        <w:numPr>
          <w:ilvl w:val="0"/>
          <w:numId w:val="0"/>
        </w:numPr>
      </w:pPr>
      <w:r>
        <w:t xml:space="preserve">bestuurlijke ondermijning. Deze ingezette lijn wordt voortgezet, met extra </w:t>
      </w:r>
    </w:p>
    <w:p w14:paraId="490508F8" w14:textId="4C75969E" w:rsidR="00F44104" w:rsidRDefault="00F44104" w:rsidP="0066599F">
      <w:pPr>
        <w:pStyle w:val="Lijstnummering"/>
        <w:numPr>
          <w:ilvl w:val="0"/>
          <w:numId w:val="0"/>
        </w:numPr>
      </w:pPr>
      <w:r>
        <w:t>focus op de link met jeugdcriminaliteit.</w:t>
      </w:r>
    </w:p>
    <w:p w14:paraId="1C815502" w14:textId="77777777" w:rsidR="00E4372D" w:rsidRDefault="00E4372D" w:rsidP="0066599F">
      <w:pPr>
        <w:pStyle w:val="Lijstnummering"/>
        <w:numPr>
          <w:ilvl w:val="0"/>
          <w:numId w:val="0"/>
        </w:numPr>
      </w:pPr>
    </w:p>
    <w:p w14:paraId="7AE8E807" w14:textId="77777777" w:rsidR="00C33898" w:rsidRDefault="00E4372D" w:rsidP="0066599F">
      <w:pPr>
        <w:pStyle w:val="Lijstnummering"/>
        <w:numPr>
          <w:ilvl w:val="0"/>
          <w:numId w:val="0"/>
        </w:numPr>
      </w:pPr>
      <w:r>
        <w:t xml:space="preserve">Zoals in het coalitieakkoord staat beschreven heeft Gouda zich hard </w:t>
      </w:r>
    </w:p>
    <w:p w14:paraId="2E46FA30" w14:textId="541A574B" w:rsidR="00F35C7C" w:rsidRDefault="00E4372D" w:rsidP="0066599F">
      <w:pPr>
        <w:pStyle w:val="Lijstnummering"/>
        <w:numPr>
          <w:ilvl w:val="0"/>
          <w:numId w:val="0"/>
        </w:numPr>
      </w:pPr>
      <w:r>
        <w:t xml:space="preserve">gemaakt om in aanmerking te komen voor </w:t>
      </w:r>
      <w:r w:rsidR="00F35C7C">
        <w:t>financiering</w:t>
      </w:r>
      <w:r>
        <w:t xml:space="preserve"> uit </w:t>
      </w:r>
      <w:r w:rsidR="007E0783">
        <w:t>de</w:t>
      </w:r>
      <w:r>
        <w:t xml:space="preserve"> landelijke</w:t>
      </w:r>
      <w:r w:rsidR="007E0783">
        <w:t xml:space="preserve"> </w:t>
      </w:r>
    </w:p>
    <w:p w14:paraId="1193B0BD" w14:textId="77777777" w:rsidR="00C33898" w:rsidRDefault="007E0783" w:rsidP="0066599F">
      <w:pPr>
        <w:pStyle w:val="Lijstnummering"/>
        <w:numPr>
          <w:ilvl w:val="0"/>
          <w:numId w:val="0"/>
        </w:numPr>
      </w:pPr>
      <w:r>
        <w:t>ondermijningsbudgetten.</w:t>
      </w:r>
      <w:r w:rsidR="00E4372D">
        <w:t xml:space="preserve"> Inmiddels is duidelijk dat Gouda in aanmerking </w:t>
      </w:r>
    </w:p>
    <w:p w14:paraId="25C9B1AD" w14:textId="69F009FD" w:rsidR="00E4372D" w:rsidRDefault="00E4372D" w:rsidP="0066599F">
      <w:pPr>
        <w:pStyle w:val="Lijstnummering"/>
        <w:numPr>
          <w:ilvl w:val="0"/>
          <w:numId w:val="0"/>
        </w:numPr>
      </w:pPr>
      <w:r>
        <w:t xml:space="preserve">komt voor extra gelden op het gebied van ondermijning. </w:t>
      </w:r>
    </w:p>
    <w:p w14:paraId="15308333" w14:textId="77777777" w:rsidR="0022132A" w:rsidRDefault="00E4372D" w:rsidP="0066599F">
      <w:pPr>
        <w:pStyle w:val="Lijstnummering"/>
        <w:numPr>
          <w:ilvl w:val="0"/>
          <w:numId w:val="0"/>
        </w:numPr>
      </w:pPr>
      <w:r>
        <w:t>Enerzijds wordt door het Ministerie van Binnenlandse Zaken</w:t>
      </w:r>
      <w:r w:rsidR="0022132A">
        <w:t xml:space="preserve"> en </w:t>
      </w:r>
    </w:p>
    <w:p w14:paraId="2A37498B" w14:textId="77777777" w:rsidR="0022132A" w:rsidRDefault="0022132A" w:rsidP="0066599F">
      <w:pPr>
        <w:pStyle w:val="Lijstnummering"/>
        <w:numPr>
          <w:ilvl w:val="0"/>
          <w:numId w:val="0"/>
        </w:numPr>
      </w:pPr>
      <w:r>
        <w:t xml:space="preserve">Koninkrijksrelaties </w:t>
      </w:r>
      <w:r w:rsidR="00E4372D">
        <w:t xml:space="preserve">(Interbestuurlijk Programma) een deel van de </w:t>
      </w:r>
    </w:p>
    <w:p w14:paraId="0288F63D" w14:textId="77777777" w:rsidR="0022132A" w:rsidRDefault="00E4372D" w:rsidP="0066599F">
      <w:pPr>
        <w:pStyle w:val="Lijstnummering"/>
        <w:numPr>
          <w:ilvl w:val="0"/>
          <w:numId w:val="0"/>
        </w:numPr>
      </w:pPr>
      <w:r>
        <w:t xml:space="preserve">initiatieven financieel ondersteund die ingezet worden om de </w:t>
      </w:r>
    </w:p>
    <w:p w14:paraId="3001D807" w14:textId="77777777" w:rsidR="0022132A" w:rsidRDefault="00E4372D" w:rsidP="0066599F">
      <w:pPr>
        <w:pStyle w:val="Lijstnummering"/>
        <w:numPr>
          <w:ilvl w:val="0"/>
          <w:numId w:val="0"/>
        </w:numPr>
      </w:pPr>
      <w:r>
        <w:t>weerbaarheid te vergroten (pijler 4).</w:t>
      </w:r>
      <w:r w:rsidR="00C33898">
        <w:t xml:space="preserve"> </w:t>
      </w:r>
      <w:r>
        <w:t>Uit de weerbaarheidsscan</w:t>
      </w:r>
      <w:r>
        <w:rPr>
          <w:rStyle w:val="Voetnootmarkering"/>
        </w:rPr>
        <w:footnoteReference w:id="2"/>
      </w:r>
      <w:r>
        <w:t xml:space="preserve"> blijkt dat </w:t>
      </w:r>
    </w:p>
    <w:p w14:paraId="75AB16D6" w14:textId="77777777" w:rsidR="0022132A" w:rsidRDefault="00390D82" w:rsidP="0066599F">
      <w:pPr>
        <w:pStyle w:val="Lijstnummering"/>
        <w:numPr>
          <w:ilvl w:val="0"/>
          <w:numId w:val="0"/>
        </w:numPr>
      </w:pPr>
      <w:r>
        <w:t>er</w:t>
      </w:r>
      <w:r w:rsidR="0022132A">
        <w:t xml:space="preserve"> in Gouda</w:t>
      </w:r>
      <w:r>
        <w:t xml:space="preserve"> een goede basis is, maar dat</w:t>
      </w:r>
      <w:r w:rsidR="00E4372D">
        <w:t xml:space="preserve"> er </w:t>
      </w:r>
      <w:r>
        <w:t xml:space="preserve">ook nog </w:t>
      </w:r>
      <w:r w:rsidR="00E4372D">
        <w:t xml:space="preserve">veel vragen zijn over </w:t>
      </w:r>
    </w:p>
    <w:p w14:paraId="16171FBB" w14:textId="77777777" w:rsidR="0022132A" w:rsidRDefault="00E4372D" w:rsidP="0066599F">
      <w:pPr>
        <w:pStyle w:val="Lijstnummering"/>
        <w:numPr>
          <w:ilvl w:val="0"/>
          <w:numId w:val="0"/>
        </w:numPr>
      </w:pPr>
      <w:r>
        <w:t>juridische</w:t>
      </w:r>
      <w:r w:rsidR="00EF5252">
        <w:t xml:space="preserve"> </w:t>
      </w:r>
      <w:r>
        <w:t xml:space="preserve">bevoegdheden, informatiedeling, verantwoordelijkheden, taken, </w:t>
      </w:r>
    </w:p>
    <w:p w14:paraId="430E67DA" w14:textId="77777777" w:rsidR="0022132A" w:rsidRDefault="00E4372D" w:rsidP="0066599F">
      <w:pPr>
        <w:pStyle w:val="Lijstnummering"/>
        <w:numPr>
          <w:ilvl w:val="0"/>
          <w:numId w:val="0"/>
        </w:numPr>
      </w:pPr>
      <w:r>
        <w:t xml:space="preserve">middelen en capaciteit. </w:t>
      </w:r>
      <w:r w:rsidR="00390D82">
        <w:t xml:space="preserve">Hierop zal dan ook ingezet worden de komende </w:t>
      </w:r>
    </w:p>
    <w:p w14:paraId="74E7DF4F" w14:textId="77777777" w:rsidR="00860480" w:rsidRDefault="00390D82" w:rsidP="0066599F">
      <w:pPr>
        <w:pStyle w:val="Lijstnummering"/>
        <w:numPr>
          <w:ilvl w:val="0"/>
          <w:numId w:val="0"/>
        </w:numPr>
      </w:pPr>
      <w:r>
        <w:t xml:space="preserve">periode. </w:t>
      </w:r>
      <w:r w:rsidR="00860480">
        <w:t xml:space="preserve">Ook bewoners en ondernemers moeten weerbaar gemaakt worden tegen </w:t>
      </w:r>
    </w:p>
    <w:p w14:paraId="7FDBE6FA" w14:textId="7E6ED21B" w:rsidR="00E4372D" w:rsidRDefault="00860480" w:rsidP="0066599F">
      <w:pPr>
        <w:pStyle w:val="Lijstnummering"/>
        <w:numPr>
          <w:ilvl w:val="0"/>
          <w:numId w:val="0"/>
        </w:numPr>
      </w:pPr>
      <w:r>
        <w:t>de verleidingen van ondermijnende criminaliteit.</w:t>
      </w:r>
    </w:p>
    <w:p w14:paraId="323907DF" w14:textId="77777777" w:rsidR="00E4372D" w:rsidRDefault="00E4372D" w:rsidP="007653A4">
      <w:pPr>
        <w:pStyle w:val="Lijstnummering"/>
        <w:numPr>
          <w:ilvl w:val="0"/>
          <w:numId w:val="0"/>
        </w:numPr>
        <w:ind w:left="360"/>
      </w:pPr>
    </w:p>
    <w:p w14:paraId="420115C5" w14:textId="77777777" w:rsidR="000E551B" w:rsidRDefault="00E4372D" w:rsidP="007653A4">
      <w:pPr>
        <w:pStyle w:val="Lijstnummering"/>
        <w:numPr>
          <w:ilvl w:val="0"/>
          <w:numId w:val="0"/>
        </w:numPr>
      </w:pPr>
      <w:r>
        <w:t>Anderzijds heeft de gemeente een voorstel i</w:t>
      </w:r>
      <w:r w:rsidR="00EF5252">
        <w:t>ngediend voor financiële ondersteuning</w:t>
      </w:r>
      <w:r w:rsidR="0022132A">
        <w:t xml:space="preserve"> bij het project A</w:t>
      </w:r>
      <w:r>
        <w:t xml:space="preserve">anpak van Criminele families en het project Gezonde Horeca vanuit </w:t>
      </w:r>
      <w:r w:rsidR="0022132A">
        <w:t>het Ondermijningsfonds van het M</w:t>
      </w:r>
      <w:r>
        <w:t xml:space="preserve">inisterie van Justitie en Veiligheid. </w:t>
      </w:r>
    </w:p>
    <w:p w14:paraId="0EE3FCB9" w14:textId="6CC886E2" w:rsidR="000E551B" w:rsidRDefault="000E551B" w:rsidP="007653A4">
      <w:pPr>
        <w:pStyle w:val="Lijstnummering"/>
        <w:numPr>
          <w:ilvl w:val="0"/>
          <w:numId w:val="0"/>
        </w:numPr>
      </w:pPr>
    </w:p>
    <w:p w14:paraId="6FE33255" w14:textId="63EB74A0" w:rsidR="000E551B" w:rsidRDefault="00860480" w:rsidP="007653A4">
      <w:pPr>
        <w:pStyle w:val="Lijstnummering"/>
        <w:numPr>
          <w:ilvl w:val="0"/>
          <w:numId w:val="0"/>
        </w:numPr>
      </w:pPr>
      <w:r>
        <w:rPr>
          <w:noProof/>
        </w:rPr>
        <mc:AlternateContent>
          <mc:Choice Requires="wps">
            <w:drawing>
              <wp:anchor distT="91440" distB="91440" distL="114300" distR="114300" simplePos="0" relativeHeight="251683840" behindDoc="0" locked="0" layoutInCell="1" allowOverlap="1" wp14:anchorId="631E600C" wp14:editId="5B1DDD3E">
                <wp:simplePos x="0" y="0"/>
                <wp:positionH relativeFrom="margin">
                  <wp:posOffset>3842385</wp:posOffset>
                </wp:positionH>
                <wp:positionV relativeFrom="paragraph">
                  <wp:posOffset>635635</wp:posOffset>
                </wp:positionV>
                <wp:extent cx="3474720" cy="1403985"/>
                <wp:effectExtent l="0" t="0" r="0" b="0"/>
                <wp:wrapTopAndBottom/>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47A5CA6" w14:textId="33A99EB0" w:rsidR="002036F8" w:rsidRPr="006C2BCB" w:rsidRDefault="002036F8" w:rsidP="00AC5F90">
                            <w:pPr>
                              <w:pBdr>
                                <w:top w:val="single" w:sz="24" w:space="8" w:color="4F81BD" w:themeColor="accent1"/>
                                <w:bottom w:val="single" w:sz="24" w:space="8" w:color="4F81BD" w:themeColor="accent1"/>
                              </w:pBdr>
                              <w:rPr>
                                <w:i/>
                                <w:iCs/>
                                <w:color w:val="4F81BD" w:themeColor="accent1"/>
                                <w:sz w:val="28"/>
                              </w:rPr>
                            </w:pPr>
                            <w:r>
                              <w:rPr>
                                <w:i/>
                                <w:iCs/>
                                <w:color w:val="4F81BD" w:themeColor="accent1"/>
                                <w:sz w:val="28"/>
                                <w:szCs w:val="24"/>
                              </w:rPr>
                              <w:t>“De ingezette lijn op ondermijning wordt voortgezet, met extra focus op de link met jeugdcriminaliteit”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3" type="#_x0000_t202" style="position:absolute;margin-left:302.55pt;margin-top:50.05pt;width:273.6pt;height:110.55pt;z-index:251683840;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" filled="f" stroked="f">
                <v:textbox style="mso-fit-shape-to-text:t">
                  <w:txbxContent>
                    <w:p w14:paraId="547A5CA6" w14:textId="33A99EB0" w:rsidR="002036F8" w:rsidRPr="006C2BCB" w:rsidRDefault="002036F8" w:rsidP="00AC5F90">
                      <w:pPr>
                        <w:pBdr>
                          <w:top w:val="single" w:sz="24" w:space="8" w:color="4F81BD" w:themeColor="accent1"/>
                          <w:bottom w:val="single" w:sz="24" w:space="8" w:color="4F81BD" w:themeColor="accent1"/>
                        </w:pBdr>
                        <w:rPr>
                          <w:i/>
                          <w:iCs/>
                          <w:color w:val="4F81BD" w:themeColor="accent1"/>
                          <w:sz w:val="28"/>
                        </w:rPr>
                      </w:pPr>
                      <w:r>
                        <w:rPr>
                          <w:i/>
                          <w:iCs/>
                          <w:color w:val="4F81BD" w:themeColor="accent1"/>
                          <w:sz w:val="28"/>
                          <w:szCs w:val="24"/>
                        </w:rPr>
                        <w:t>“De ingezette lijn op ondermijning wordt voortgezet, met extra focus op de link met jeugdcriminaliteit”</w:t>
                      </w:r>
                    </w:p>
                  </w:txbxContent>
                </v:textbox>
                <w10:wrap type="topAndBottom" anchorx="margin"/>
              </v:shape>
            </w:pict>
          </mc:Fallback>
        </mc:AlternateContent>
      </w:r>
      <w:r w:rsidR="000E551B" w:rsidRPr="00A52137">
        <w:t>De aanpak</w:t>
      </w:r>
      <w:r w:rsidR="000E551B">
        <w:t xml:space="preserve"> van criminele families</w:t>
      </w:r>
      <w:r w:rsidR="000E551B" w:rsidRPr="00A52137">
        <w:t xml:space="preserve"> heeft als doel om criminaliteit tegen te gaan en de intergenerationele overdracht van </w:t>
      </w:r>
      <w:proofErr w:type="spellStart"/>
      <w:r w:rsidR="000E551B" w:rsidRPr="00A52137">
        <w:t>overlastgevend</w:t>
      </w:r>
      <w:proofErr w:type="spellEnd"/>
      <w:r w:rsidR="000E551B" w:rsidRPr="00A52137">
        <w:t xml:space="preserve"> en crimineel gedrag binnen de familie te beëindigen. </w:t>
      </w:r>
      <w:r w:rsidR="000E551B">
        <w:t xml:space="preserve">Een groot deel van de acties die op deze families zijn uitgezet zijn generiek te gebruiken. Dit wil zeggen dat de acties ook onderdeel zullen zijn van de aanpak van een volgende familie. Daarvoor is de inhuur van een casushouder bij het Veiligheidshuis Hollands Midden cruciaal gebleken. Ook is het effectief gebleken om jongeren, maar ook (sub)families die permanent uit de criminaliteit willen blijven, een vorm van trajectbegeleiding </w:t>
      </w:r>
      <w:r w:rsidR="000E551B" w:rsidRPr="005D5FC4">
        <w:t>aan te bieden</w:t>
      </w:r>
      <w:r w:rsidR="000E551B">
        <w:t>.</w:t>
      </w:r>
    </w:p>
    <w:p w14:paraId="7F557E75" w14:textId="56A14B7A" w:rsidR="000E551B" w:rsidRDefault="000E551B" w:rsidP="007653A4">
      <w:pPr>
        <w:pStyle w:val="Lijstnummering"/>
        <w:numPr>
          <w:ilvl w:val="0"/>
          <w:numId w:val="0"/>
        </w:numPr>
      </w:pPr>
    </w:p>
    <w:p w14:paraId="50EFC403" w14:textId="00481AA1" w:rsidR="00E4372D" w:rsidRDefault="00E4372D" w:rsidP="007653A4">
      <w:pPr>
        <w:pStyle w:val="Lijstnummering"/>
        <w:numPr>
          <w:ilvl w:val="0"/>
          <w:numId w:val="0"/>
        </w:numPr>
      </w:pPr>
      <w:r>
        <w:t>Voor het uitvoeren van controles (</w:t>
      </w:r>
      <w:r w:rsidR="007C20E5">
        <w:t xml:space="preserve">in gesprek gaan, </w:t>
      </w:r>
      <w:r>
        <w:t>klein</w:t>
      </w:r>
      <w:r w:rsidR="007C20E5">
        <w:t>e controles en</w:t>
      </w:r>
      <w:r>
        <w:t xml:space="preserve"> observaties) en het opbouwen van een netwerk rondom de horecagelegenheden is er grote behoefte aan een Buitengewoon Opsporingsambtenaar die zijn of haar tijd volledig aan (de doelstelling van) het project Gezonde Horeca kan wijden. Het verbeteren van beleid en procedures ten aanzien van malafide horeca </w:t>
      </w:r>
      <w:r w:rsidR="005D5FC4">
        <w:t>is eveneens een onderdeel</w:t>
      </w:r>
      <w:r>
        <w:t xml:space="preserve"> van het project</w:t>
      </w:r>
      <w:r w:rsidR="005D5FC4">
        <w:t>.</w:t>
      </w:r>
    </w:p>
    <w:p w14:paraId="44D31AD2" w14:textId="3122F6C6" w:rsidR="00E4372D" w:rsidRDefault="00E4372D" w:rsidP="007653A4">
      <w:pPr>
        <w:pStyle w:val="Lijstnummering"/>
        <w:numPr>
          <w:ilvl w:val="0"/>
          <w:numId w:val="0"/>
        </w:numPr>
      </w:pPr>
    </w:p>
    <w:p w14:paraId="71B8C95F" w14:textId="7FFACAFC" w:rsidR="00123B5D" w:rsidRDefault="008F0396" w:rsidP="007653A4">
      <w:pPr>
        <w:pStyle w:val="Lijstnummering"/>
        <w:numPr>
          <w:ilvl w:val="0"/>
          <w:numId w:val="0"/>
        </w:numPr>
      </w:pPr>
      <w:r>
        <w:t>Zie schematische wee</w:t>
      </w:r>
      <w:r w:rsidR="00D931E3">
        <w:t>rgave van de aanpak in bijlage A</w:t>
      </w:r>
    </w:p>
    <w:p w14:paraId="59122E9B" w14:textId="5A548C78" w:rsidR="00BB1B73" w:rsidRDefault="00BB1B73" w:rsidP="007653A4">
      <w:pPr>
        <w:pStyle w:val="Lijstnummering"/>
        <w:numPr>
          <w:ilvl w:val="0"/>
          <w:numId w:val="0"/>
        </w:numPr>
        <w:ind w:left="360"/>
      </w:pPr>
    </w:p>
    <w:p w14:paraId="2992DC22" w14:textId="665377FA" w:rsidR="00123B5D" w:rsidRDefault="00422976" w:rsidP="007653A4">
      <w:pPr>
        <w:pStyle w:val="Lijstnummering"/>
        <w:numPr>
          <w:ilvl w:val="0"/>
          <w:numId w:val="0"/>
        </w:numPr>
        <w:pBdr>
          <w:top w:val="single" w:sz="4" w:space="1" w:color="auto"/>
          <w:left w:val="single" w:sz="4" w:space="4" w:color="auto"/>
          <w:bottom w:val="single" w:sz="4" w:space="1" w:color="auto"/>
          <w:right w:val="single" w:sz="4" w:space="4" w:color="auto"/>
        </w:pBdr>
        <w:ind w:left="360"/>
      </w:pPr>
      <w:r>
        <w:t>Doelen</w:t>
      </w:r>
      <w:r w:rsidR="00F26E94">
        <w:t xml:space="preserve"> t</w:t>
      </w:r>
      <w:r w:rsidR="00F26E94" w:rsidRPr="00F26E94">
        <w:t>egengaan ondermijning</w:t>
      </w:r>
      <w:r w:rsidR="00123B5D">
        <w:t>:</w:t>
      </w:r>
    </w:p>
    <w:p w14:paraId="0213C671" w14:textId="65BB7981" w:rsidR="00BB1B73" w:rsidRPr="00693084" w:rsidRDefault="00550E85"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Meer</w:t>
      </w:r>
      <w:r w:rsidR="00BB1B73">
        <w:t xml:space="preserve"> </w:t>
      </w:r>
      <w:r w:rsidR="0002267A">
        <w:t>barrières</w:t>
      </w:r>
      <w:r>
        <w:t xml:space="preserve"> opwerpen</w:t>
      </w:r>
      <w:r w:rsidR="00BB1B73">
        <w:t xml:space="preserve"> ter voorkoming van </w:t>
      </w:r>
      <w:r w:rsidR="00BB1B73" w:rsidRPr="00693084">
        <w:t>ondermijning</w:t>
      </w:r>
      <w:r w:rsidR="001048F0" w:rsidRPr="00693084">
        <w:t xml:space="preserve"> door aanpak van knooppunten en inzet </w:t>
      </w:r>
      <w:proofErr w:type="spellStart"/>
      <w:r w:rsidR="001048F0" w:rsidRPr="00693084">
        <w:t>Bibob</w:t>
      </w:r>
      <w:proofErr w:type="spellEnd"/>
    </w:p>
    <w:p w14:paraId="4BB09878" w14:textId="7A4C98F4" w:rsidR="00BB1B73" w:rsidRPr="00693084" w:rsidRDefault="00422976"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rsidRPr="00693084">
        <w:t xml:space="preserve">Het </w:t>
      </w:r>
      <w:r w:rsidR="0002267A" w:rsidRPr="00693084">
        <w:t>schakelteam</w:t>
      </w:r>
      <w:r w:rsidRPr="00693084">
        <w:t xml:space="preserve"> duidt op effectieve wijze de binnenkomende signalen</w:t>
      </w:r>
    </w:p>
    <w:p w14:paraId="2B2EA476" w14:textId="0193FF2C" w:rsidR="00422976" w:rsidRDefault="00422976"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 xml:space="preserve">Het beperken van instroom en het bevorderen van uitstroom van leden </w:t>
      </w:r>
      <w:r w:rsidR="00B25801">
        <w:t xml:space="preserve">van </w:t>
      </w:r>
      <w:r>
        <w:t>criminele netwerken</w:t>
      </w:r>
    </w:p>
    <w:p w14:paraId="15DA3408" w14:textId="3E3E8955" w:rsidR="00123B5D" w:rsidRDefault="00550E85"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Weerbaarheid van bestuur en organisatie tegen ondermijning versterken</w:t>
      </w:r>
      <w:r w:rsidR="00693D6A">
        <w:t xml:space="preserve"> door</w:t>
      </w:r>
      <w:r w:rsidR="00D06ADA">
        <w:t xml:space="preserve"> o.a.</w:t>
      </w:r>
      <w:r w:rsidR="00693D6A">
        <w:t xml:space="preserve"> training</w:t>
      </w:r>
    </w:p>
    <w:p w14:paraId="23BD8065" w14:textId="77777777" w:rsidR="00860480" w:rsidRDefault="00860480" w:rsidP="007653A4">
      <w:pPr>
        <w:pStyle w:val="Lijstnummering"/>
        <w:numPr>
          <w:ilvl w:val="0"/>
          <w:numId w:val="0"/>
        </w:numPr>
        <w:rPr>
          <w:b/>
        </w:rPr>
      </w:pPr>
    </w:p>
    <w:p w14:paraId="0B92C852" w14:textId="16153572" w:rsidR="005315B1" w:rsidRPr="00BD230A" w:rsidRDefault="00123B5D" w:rsidP="007653A4">
      <w:pPr>
        <w:pStyle w:val="Lijstnummering"/>
        <w:numPr>
          <w:ilvl w:val="0"/>
          <w:numId w:val="0"/>
        </w:numPr>
      </w:pPr>
      <w:r w:rsidRPr="00BC5EC6">
        <w:rPr>
          <w:b/>
        </w:rPr>
        <w:t>Aanpak sociale overlast</w:t>
      </w:r>
      <w:r w:rsidR="000E551B">
        <w:rPr>
          <w:b/>
        </w:rPr>
        <w:t xml:space="preserve">: focus op woonoverlast en </w:t>
      </w:r>
      <w:r w:rsidR="007106F2">
        <w:rPr>
          <w:b/>
        </w:rPr>
        <w:t>bij de problematiek rond</w:t>
      </w:r>
      <w:r w:rsidR="000E551B">
        <w:rPr>
          <w:b/>
        </w:rPr>
        <w:t xml:space="preserve"> </w:t>
      </w:r>
      <w:r w:rsidR="007106F2">
        <w:rPr>
          <w:b/>
        </w:rPr>
        <w:t xml:space="preserve">personen </w:t>
      </w:r>
      <w:r w:rsidR="007106F2" w:rsidRPr="007106F2">
        <w:rPr>
          <w:b/>
        </w:rPr>
        <w:t xml:space="preserve">met verward gedrag de </w:t>
      </w:r>
      <w:r w:rsidR="00A735C1">
        <w:rPr>
          <w:b/>
        </w:rPr>
        <w:t xml:space="preserve">borging van de samenhang met zorg </w:t>
      </w:r>
    </w:p>
    <w:p w14:paraId="191BAC29" w14:textId="411A554F" w:rsidR="00123B5D" w:rsidRDefault="00123B5D" w:rsidP="007653A4">
      <w:pPr>
        <w:pStyle w:val="Lijstnummering"/>
        <w:numPr>
          <w:ilvl w:val="0"/>
          <w:numId w:val="0"/>
        </w:numPr>
        <w:ind w:left="360"/>
      </w:pPr>
    </w:p>
    <w:p w14:paraId="706EAB3D" w14:textId="77777777" w:rsidR="00C33898" w:rsidRDefault="00CB181B" w:rsidP="0066599F">
      <w:pPr>
        <w:pStyle w:val="Lijstnummering"/>
        <w:numPr>
          <w:ilvl w:val="0"/>
          <w:numId w:val="0"/>
        </w:numPr>
      </w:pPr>
      <w:r>
        <w:t>De afgelopen jaren is het aantal</w:t>
      </w:r>
      <w:r w:rsidR="00A01FB0">
        <w:t xml:space="preserve"> meldingen over conflictbemiddeling en</w:t>
      </w:r>
      <w:r w:rsidR="00C33898">
        <w:t xml:space="preserve"> </w:t>
      </w:r>
      <w:r w:rsidR="00A01FB0">
        <w:t>buren</w:t>
      </w:r>
      <w:r w:rsidR="00B72A4D">
        <w:t>ru</w:t>
      </w:r>
      <w:r w:rsidR="00A01FB0">
        <w:t>zie en de meldingen over overlast door pe</w:t>
      </w:r>
      <w:r>
        <w:t xml:space="preserve">rsonen met verward gedrag sterk </w:t>
      </w:r>
    </w:p>
    <w:p w14:paraId="4AF1C07F" w14:textId="77777777" w:rsidR="00C33898" w:rsidRDefault="00CB181B" w:rsidP="0066599F">
      <w:pPr>
        <w:pStyle w:val="Lijstnummering"/>
        <w:numPr>
          <w:ilvl w:val="0"/>
          <w:numId w:val="0"/>
        </w:numPr>
      </w:pPr>
      <w:r>
        <w:t>wisselend. Na een daling in 2016 zijn de cijfers weer gestegen wat betreft het aantal meldingen personen met verward gedrag</w:t>
      </w:r>
      <w:r w:rsidR="00383B74">
        <w:t xml:space="preserve"> en wat betreft meldingen </w:t>
      </w:r>
    </w:p>
    <w:p w14:paraId="697610F5" w14:textId="77777777" w:rsidR="009910DC" w:rsidRDefault="00383B74" w:rsidP="0066599F">
      <w:pPr>
        <w:pStyle w:val="Lijstnummering"/>
        <w:numPr>
          <w:ilvl w:val="0"/>
          <w:numId w:val="0"/>
        </w:numPr>
      </w:pPr>
      <w:r>
        <w:t xml:space="preserve">burenruzies. </w:t>
      </w:r>
      <w:r w:rsidR="00A01FB0">
        <w:t>Er wonen meer kwet</w:t>
      </w:r>
      <w:r w:rsidR="009910DC">
        <w:t xml:space="preserve">sbare doelgroepen in de wijken en dit vraagt soms veel van de omwonenden. </w:t>
      </w:r>
      <w:r w:rsidR="00A01FB0">
        <w:t xml:space="preserve">Veelal is er sprake van concentratie van </w:t>
      </w:r>
    </w:p>
    <w:p w14:paraId="034D6896" w14:textId="41B491C0" w:rsidR="00AE6F9C" w:rsidRDefault="00A01FB0" w:rsidP="0066599F">
      <w:pPr>
        <w:pStyle w:val="Lijstnummering"/>
        <w:numPr>
          <w:ilvl w:val="0"/>
          <w:numId w:val="0"/>
        </w:numPr>
      </w:pPr>
      <w:r>
        <w:t xml:space="preserve">problematiek in de woningen met goedkope huur. </w:t>
      </w:r>
      <w:r w:rsidR="00AE6F9C">
        <w:t>Met name extreme gevallen van woonoverlast zijn z</w:t>
      </w:r>
      <w:r w:rsidR="00BC5EC6">
        <w:t>eer ingrijpend voor omwonenden:</w:t>
      </w:r>
    </w:p>
    <w:p w14:paraId="4BB1FD29" w14:textId="77777777" w:rsidR="00A01FB0" w:rsidRDefault="00A01FB0" w:rsidP="0066599F">
      <w:pPr>
        <w:pStyle w:val="Lijstnummering"/>
        <w:numPr>
          <w:ilvl w:val="0"/>
          <w:numId w:val="0"/>
        </w:numPr>
      </w:pPr>
    </w:p>
    <w:p w14:paraId="6281E877" w14:textId="77777777" w:rsidR="00F44104" w:rsidRDefault="00A01FB0" w:rsidP="0066599F">
      <w:pPr>
        <w:rPr>
          <w:rStyle w:val="Nadruk"/>
          <w:rFonts w:ascii="Arial" w:hAnsi="Arial" w:cs="Arial"/>
        </w:rPr>
      </w:pPr>
      <w:r w:rsidRPr="00956223">
        <w:rPr>
          <w:rStyle w:val="Nadruk"/>
          <w:rFonts w:ascii="Arial" w:hAnsi="Arial" w:cs="Arial"/>
          <w:b w:val="0"/>
        </w:rPr>
        <w:t xml:space="preserve">“Woonoverlast is hinder die in, vanuit en rondom een woning kan worden veroorzaakt. De overlastgever en of degenen voor wie hij verantwoordelijk is vertonen </w:t>
      </w:r>
      <w:proofErr w:type="spellStart"/>
      <w:r w:rsidRPr="00956223">
        <w:rPr>
          <w:rStyle w:val="Nadruk"/>
          <w:rFonts w:ascii="Arial" w:hAnsi="Arial" w:cs="Arial"/>
          <w:b w:val="0"/>
        </w:rPr>
        <w:t>overlastgevend</w:t>
      </w:r>
      <w:proofErr w:type="spellEnd"/>
      <w:r w:rsidRPr="00956223">
        <w:rPr>
          <w:rStyle w:val="Nadruk"/>
          <w:rFonts w:ascii="Arial" w:hAnsi="Arial" w:cs="Arial"/>
          <w:b w:val="0"/>
        </w:rPr>
        <w:t xml:space="preserve"> gedrag en of laten juist na bepaald gedrag te vertonen waardoor een onplezierige ervaring bij omwonenden wordt veroorzaakt. Denk daarbij aan: geluidsoverlast, fysieke verloedering, vervuiling, intimiderend gedrag, brandgevaar en drugsoverlast</w:t>
      </w:r>
      <w:r w:rsidR="005B4CA2">
        <w:rPr>
          <w:rStyle w:val="Nadruk"/>
          <w:rFonts w:ascii="Arial" w:hAnsi="Arial" w:cs="Arial"/>
        </w:rPr>
        <w:t>”.</w:t>
      </w:r>
    </w:p>
    <w:p w14:paraId="0649F05B" w14:textId="7D7CA195" w:rsidR="00A01FB0" w:rsidRPr="003E2685" w:rsidRDefault="009010BD" w:rsidP="0066599F">
      <w:pPr>
        <w:rPr>
          <w:rStyle w:val="Nadruk"/>
          <w:rFonts w:ascii="Arial" w:hAnsi="Arial" w:cs="Arial"/>
          <w:sz w:val="16"/>
          <w:szCs w:val="16"/>
        </w:rPr>
      </w:pPr>
      <w:r w:rsidRPr="003E2685">
        <w:rPr>
          <w:rFonts w:cs="Arial"/>
          <w:sz w:val="16"/>
          <w:szCs w:val="16"/>
        </w:rPr>
        <w:t xml:space="preserve">Bron: </w:t>
      </w:r>
      <w:r w:rsidR="00AE6F9C" w:rsidRPr="003E2685">
        <w:rPr>
          <w:rStyle w:val="Nadruk"/>
          <w:rFonts w:ascii="Arial" w:hAnsi="Arial" w:cs="Arial"/>
          <w:b w:val="0"/>
          <w:i w:val="0"/>
          <w:iCs w:val="0"/>
          <w:sz w:val="16"/>
          <w:szCs w:val="16"/>
        </w:rPr>
        <w:t>www.het</w:t>
      </w:r>
      <w:r w:rsidRPr="003E2685">
        <w:rPr>
          <w:rStyle w:val="Nadruk"/>
          <w:rFonts w:ascii="Arial" w:hAnsi="Arial" w:cs="Arial"/>
          <w:b w:val="0"/>
          <w:i w:val="0"/>
          <w:iCs w:val="0"/>
          <w:sz w:val="16"/>
          <w:szCs w:val="16"/>
        </w:rPr>
        <w:t>ccv-woonoverlast.nl</w:t>
      </w:r>
    </w:p>
    <w:p w14:paraId="5D969119" w14:textId="77777777" w:rsidR="00AE6F9C" w:rsidRPr="00956223" w:rsidRDefault="00AE6F9C" w:rsidP="0066599F">
      <w:pPr>
        <w:rPr>
          <w:rStyle w:val="Nadruk"/>
          <w:rFonts w:ascii="Arial" w:hAnsi="Arial" w:cs="Arial"/>
        </w:rPr>
      </w:pPr>
    </w:p>
    <w:p w14:paraId="252D8EE4" w14:textId="77777777" w:rsidR="000E551B" w:rsidRDefault="00BC5EC6" w:rsidP="0066599F">
      <w:pPr>
        <w:pStyle w:val="Lijstnummering"/>
        <w:numPr>
          <w:ilvl w:val="0"/>
          <w:numId w:val="0"/>
        </w:numPr>
      </w:pPr>
      <w:r>
        <w:t xml:space="preserve">De burgemeester beschikt over bevoegdheden om in te grijpen wanneer de openbare orde in het geding is. In de APV </w:t>
      </w:r>
      <w:r w:rsidR="00D06ADA">
        <w:t xml:space="preserve">zal in 2019 </w:t>
      </w:r>
      <w:r>
        <w:t xml:space="preserve">een artikel opgenomen </w:t>
      </w:r>
    </w:p>
    <w:p w14:paraId="216CEE2F" w14:textId="77777777" w:rsidR="000E551B" w:rsidRDefault="00D06ADA" w:rsidP="0066599F">
      <w:pPr>
        <w:pStyle w:val="Lijstnummering"/>
        <w:numPr>
          <w:ilvl w:val="0"/>
          <w:numId w:val="0"/>
        </w:numPr>
        <w:rPr>
          <w:rFonts w:cstheme="minorHAnsi"/>
        </w:rPr>
      </w:pPr>
      <w:r>
        <w:t xml:space="preserve">worden </w:t>
      </w:r>
      <w:r w:rsidR="00BC5EC6">
        <w:t>om een gedragsaanwijzing te mogen geven in het geval een bewoner ern</w:t>
      </w:r>
      <w:r w:rsidR="00B72A4D">
        <w:t>s</w:t>
      </w:r>
      <w:r w:rsidR="00BC5EC6">
        <w:t>tige en herhaaldelijke overlast veroorzaakt vanuit een woning.</w:t>
      </w:r>
      <w:r w:rsidR="00F44104">
        <w:t xml:space="preserve"> </w:t>
      </w:r>
      <w:r w:rsidR="00BC5EC6">
        <w:rPr>
          <w:rFonts w:cstheme="minorHAnsi"/>
        </w:rPr>
        <w:t xml:space="preserve">Naast </w:t>
      </w:r>
    </w:p>
    <w:p w14:paraId="128D2420" w14:textId="77777777" w:rsidR="00860480" w:rsidRDefault="00BC5EC6" w:rsidP="0066599F">
      <w:pPr>
        <w:pStyle w:val="Lijstnummering"/>
        <w:numPr>
          <w:ilvl w:val="0"/>
          <w:numId w:val="0"/>
        </w:numPr>
        <w:rPr>
          <w:rFonts w:cstheme="minorHAnsi"/>
        </w:rPr>
      </w:pPr>
      <w:r>
        <w:rPr>
          <w:rFonts w:cstheme="minorHAnsi"/>
        </w:rPr>
        <w:t xml:space="preserve">bestuurlijke </w:t>
      </w:r>
      <w:r w:rsidR="00C33898">
        <w:rPr>
          <w:rFonts w:cstheme="minorHAnsi"/>
        </w:rPr>
        <w:t>m</w:t>
      </w:r>
      <w:r>
        <w:rPr>
          <w:rFonts w:cstheme="minorHAnsi"/>
        </w:rPr>
        <w:t>aatregelen wordt preventief buurtbemiddeling ingezet</w:t>
      </w:r>
      <w:r w:rsidR="005B4CA2">
        <w:rPr>
          <w:rFonts w:cstheme="minorHAnsi"/>
        </w:rPr>
        <w:t xml:space="preserve"> om escalatie te voorkomen. </w:t>
      </w:r>
      <w:r w:rsidR="00860480">
        <w:rPr>
          <w:rFonts w:cstheme="minorHAnsi"/>
        </w:rPr>
        <w:t xml:space="preserve">Met buurtbemiddeling wordt een groot deel van problemen in </w:t>
      </w:r>
    </w:p>
    <w:p w14:paraId="1E15ED90" w14:textId="77777777" w:rsidR="00860480" w:rsidRDefault="00860480" w:rsidP="0066599F">
      <w:pPr>
        <w:pStyle w:val="Lijstnummering"/>
        <w:numPr>
          <w:ilvl w:val="0"/>
          <w:numId w:val="0"/>
        </w:numPr>
        <w:rPr>
          <w:rFonts w:cstheme="minorHAnsi"/>
        </w:rPr>
      </w:pPr>
      <w:r>
        <w:rPr>
          <w:rFonts w:cstheme="minorHAnsi"/>
        </w:rPr>
        <w:t xml:space="preserve">een vroeg stadium opgelost. </w:t>
      </w:r>
      <w:r w:rsidR="005B4CA2">
        <w:rPr>
          <w:rFonts w:cstheme="minorHAnsi"/>
        </w:rPr>
        <w:t xml:space="preserve">Samen met de woningcorporaties, wijkagenten, sociaal team, GGZ en GGD wordt </w:t>
      </w:r>
      <w:r w:rsidR="00B72A4D">
        <w:rPr>
          <w:rFonts w:cstheme="minorHAnsi"/>
        </w:rPr>
        <w:t>casuïstiek</w:t>
      </w:r>
      <w:r w:rsidR="005B4CA2">
        <w:rPr>
          <w:rFonts w:cstheme="minorHAnsi"/>
        </w:rPr>
        <w:t xml:space="preserve"> aangepakt en vinden schouwen </w:t>
      </w:r>
    </w:p>
    <w:p w14:paraId="55B9BBDA" w14:textId="4A476B81" w:rsidR="000E551B" w:rsidRDefault="005B4CA2" w:rsidP="0066599F">
      <w:pPr>
        <w:pStyle w:val="Lijstnummering"/>
        <w:numPr>
          <w:ilvl w:val="0"/>
          <w:numId w:val="0"/>
        </w:numPr>
        <w:rPr>
          <w:rFonts w:cstheme="minorHAnsi"/>
        </w:rPr>
      </w:pPr>
      <w:r>
        <w:rPr>
          <w:rFonts w:cstheme="minorHAnsi"/>
        </w:rPr>
        <w:t xml:space="preserve">plaats. </w:t>
      </w:r>
      <w:r w:rsidR="004D2536">
        <w:rPr>
          <w:rFonts w:cstheme="minorHAnsi"/>
        </w:rPr>
        <w:t>De zorg-</w:t>
      </w:r>
      <w:r w:rsidR="00F26E94">
        <w:rPr>
          <w:rFonts w:cstheme="minorHAnsi"/>
        </w:rPr>
        <w:t xml:space="preserve"> </w:t>
      </w:r>
      <w:r w:rsidR="004D2536">
        <w:rPr>
          <w:rFonts w:cstheme="minorHAnsi"/>
        </w:rPr>
        <w:t xml:space="preserve">en veiligheidspartners streven ernaar om de overlast hanteerbaar te houden. </w:t>
      </w:r>
    </w:p>
    <w:p w14:paraId="78EE4C6C" w14:textId="3182CB90" w:rsidR="00C33898" w:rsidRDefault="005B4CA2" w:rsidP="0066599F">
      <w:pPr>
        <w:pStyle w:val="Lijstnummering"/>
        <w:numPr>
          <w:ilvl w:val="0"/>
          <w:numId w:val="0"/>
        </w:numPr>
        <w:rPr>
          <w:rFonts w:cstheme="minorHAnsi"/>
        </w:rPr>
      </w:pPr>
      <w:r>
        <w:rPr>
          <w:rFonts w:cstheme="minorHAnsi"/>
        </w:rPr>
        <w:t>Bij</w:t>
      </w:r>
      <w:r w:rsidR="004D2536">
        <w:rPr>
          <w:rFonts w:cstheme="minorHAnsi"/>
        </w:rPr>
        <w:t xml:space="preserve"> de extreme overlastsituaties zijn de veiligheidspartners aan zet, maar de inzet is met name gericht op het voorkomen van escalatie. Het meldpunt Zorg en </w:t>
      </w:r>
    </w:p>
    <w:p w14:paraId="0380CB6E" w14:textId="0EAF1F14" w:rsidR="00A01FB0" w:rsidRPr="00BD230A" w:rsidRDefault="004D2536" w:rsidP="0066599F">
      <w:pPr>
        <w:pStyle w:val="Lijstnummering"/>
        <w:numPr>
          <w:ilvl w:val="0"/>
          <w:numId w:val="0"/>
        </w:numPr>
        <w:rPr>
          <w:rFonts w:cstheme="minorHAnsi"/>
        </w:rPr>
      </w:pPr>
      <w:r>
        <w:rPr>
          <w:rFonts w:cstheme="minorHAnsi"/>
        </w:rPr>
        <w:t xml:space="preserve">Overlast is een eerste aanspreekpunt voor meldingen en </w:t>
      </w:r>
      <w:r w:rsidR="00F26E94">
        <w:rPr>
          <w:rFonts w:cstheme="minorHAnsi"/>
        </w:rPr>
        <w:t>coördineert</w:t>
      </w:r>
      <w:r>
        <w:rPr>
          <w:rFonts w:cstheme="minorHAnsi"/>
        </w:rPr>
        <w:t xml:space="preserve"> vervolgens de benodigde inzet.</w:t>
      </w:r>
    </w:p>
    <w:p w14:paraId="7F08F1CE" w14:textId="073C1A5E" w:rsidR="00A01FB0" w:rsidRDefault="00422976" w:rsidP="007653A4">
      <w:pPr>
        <w:pStyle w:val="Lijstnummering"/>
        <w:numPr>
          <w:ilvl w:val="0"/>
          <w:numId w:val="0"/>
        </w:numPr>
        <w:pBdr>
          <w:top w:val="single" w:sz="4" w:space="1" w:color="auto"/>
          <w:left w:val="single" w:sz="4" w:space="4" w:color="auto"/>
          <w:bottom w:val="single" w:sz="4" w:space="1" w:color="auto"/>
          <w:right w:val="single" w:sz="4" w:space="4" w:color="auto"/>
        </w:pBdr>
        <w:ind w:left="360"/>
      </w:pPr>
      <w:r>
        <w:t>Doelen</w:t>
      </w:r>
      <w:r w:rsidR="00F26E94" w:rsidRPr="00F26E94">
        <w:t xml:space="preserve"> </w:t>
      </w:r>
      <w:r w:rsidR="00F26E94">
        <w:t>a</w:t>
      </w:r>
      <w:r w:rsidR="00F26E94" w:rsidRPr="00F26E94">
        <w:t>anpak sociale overlast</w:t>
      </w:r>
      <w:r w:rsidR="00B72A4D">
        <w:t>:</w:t>
      </w:r>
    </w:p>
    <w:p w14:paraId="0F179AFC" w14:textId="608F37DB" w:rsidR="00383B74" w:rsidRDefault="002737C7"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Er is een door alle ketenpartn</w:t>
      </w:r>
      <w:r w:rsidR="00383B74">
        <w:t>ers afgestemde aanpak bij alle voorkomende</w:t>
      </w:r>
      <w:r w:rsidR="00373242">
        <w:t xml:space="preserve"> </w:t>
      </w:r>
      <w:r w:rsidR="00B72A4D">
        <w:t>extreme woonoverlast</w:t>
      </w:r>
      <w:r w:rsidR="000F51DB">
        <w:t>-</w:t>
      </w:r>
      <w:r w:rsidR="00B72A4D">
        <w:t>situaties</w:t>
      </w:r>
      <w:r w:rsidR="004F0591">
        <w:t xml:space="preserve"> </w:t>
      </w:r>
    </w:p>
    <w:p w14:paraId="15316A8B" w14:textId="1874A559" w:rsidR="00B72A4D" w:rsidRDefault="00383B74"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H</w:t>
      </w:r>
      <w:r w:rsidR="004F0591">
        <w:t>et verminderen van recidive van overlastgevers</w:t>
      </w:r>
      <w:r w:rsidR="00C079B9">
        <w:t xml:space="preserve"> door </w:t>
      </w:r>
      <w:r>
        <w:t xml:space="preserve">het bieden van de juiste </w:t>
      </w:r>
      <w:r w:rsidR="00C079B9">
        <w:t>zorg en begeleiding</w:t>
      </w:r>
    </w:p>
    <w:p w14:paraId="452105AF" w14:textId="68A25DEA" w:rsidR="00373242" w:rsidRDefault="004F0591" w:rsidP="007653A4">
      <w:pPr>
        <w:pStyle w:val="Lijstnummering"/>
        <w:numPr>
          <w:ilvl w:val="0"/>
          <w:numId w:val="23"/>
        </w:numPr>
        <w:pBdr>
          <w:top w:val="single" w:sz="4" w:space="1" w:color="auto"/>
          <w:left w:val="single" w:sz="4" w:space="4" w:color="auto"/>
          <w:bottom w:val="single" w:sz="4" w:space="1" w:color="auto"/>
          <w:right w:val="single" w:sz="4" w:space="4" w:color="auto"/>
        </w:pBdr>
        <w:ind w:firstLine="0"/>
      </w:pPr>
      <w:r>
        <w:t xml:space="preserve">De gemeente </w:t>
      </w:r>
      <w:r w:rsidR="00383B74">
        <w:t>benut de maatregelen ter</w:t>
      </w:r>
      <w:r>
        <w:t xml:space="preserve"> handhaving van de openbare orde</w:t>
      </w:r>
      <w:r w:rsidR="00383B74">
        <w:t xml:space="preserve"> en de APV</w:t>
      </w:r>
    </w:p>
    <w:p w14:paraId="082402CC" w14:textId="58A5BC2F" w:rsidR="007970DA" w:rsidRDefault="00F26E94" w:rsidP="007653A4">
      <w:pPr>
        <w:pStyle w:val="Itemsnrsniveau1"/>
        <w:ind w:firstLine="0"/>
      </w:pPr>
      <w:bookmarkStart w:id="11" w:name="_Toc531857282"/>
      <w:r>
        <w:t>T</w:t>
      </w:r>
      <w:r w:rsidR="007970DA">
        <w:t>oezicht</w:t>
      </w:r>
      <w:r>
        <w:t xml:space="preserve"> en handhaving</w:t>
      </w:r>
      <w:bookmarkEnd w:id="11"/>
    </w:p>
    <w:p w14:paraId="700615F5" w14:textId="1396B756" w:rsidR="00AC5F90" w:rsidRDefault="00AC5F90" w:rsidP="007653A4">
      <w:pPr>
        <w:pStyle w:val="Standaardingesprongen"/>
        <w:ind w:left="0"/>
        <w:rPr>
          <w:lang w:eastAsia="en-US"/>
        </w:rPr>
      </w:pPr>
    </w:p>
    <w:p w14:paraId="2B98FF8D" w14:textId="2227559E" w:rsidR="008F0396" w:rsidRPr="00DC12A5" w:rsidRDefault="008F0396" w:rsidP="007653A4">
      <w:pPr>
        <w:pStyle w:val="Standaardingesprongen"/>
        <w:ind w:left="0"/>
        <w:rPr>
          <w:rFonts w:cs="Arial"/>
        </w:rPr>
      </w:pPr>
      <w:r w:rsidRPr="00DC12A5">
        <w:rPr>
          <w:rFonts w:cs="Arial"/>
          <w:b/>
        </w:rPr>
        <w:t>Visie</w:t>
      </w:r>
      <w:r w:rsidR="00AC5F90" w:rsidRPr="00DC12A5">
        <w:rPr>
          <w:rFonts w:cs="Arial"/>
          <w:b/>
        </w:rPr>
        <w:t xml:space="preserve">: </w:t>
      </w:r>
      <w:r w:rsidRPr="00DC12A5">
        <w:rPr>
          <w:rFonts w:cs="Arial"/>
        </w:rPr>
        <w:t>Stadstoezicht zorgt voor een leefbare en veilige stad door het handhaven van de wet- en regelgeving in de openbare ruimte. Het doel is dat iedereen zich aan de regels houdt.</w:t>
      </w:r>
    </w:p>
    <w:p w14:paraId="27908E7A" w14:textId="77777777" w:rsidR="008F0396" w:rsidRDefault="008F0396" w:rsidP="007653A4">
      <w:pPr>
        <w:pStyle w:val="Standaardingesprongen"/>
        <w:rPr>
          <w:rFonts w:cs="Arial"/>
          <w:i/>
        </w:rPr>
      </w:pPr>
    </w:p>
    <w:p w14:paraId="4B36774D" w14:textId="05DC8CC0" w:rsidR="009D0004" w:rsidRDefault="009D0004" w:rsidP="007653A4">
      <w:pPr>
        <w:pStyle w:val="Standaardingesprongen"/>
        <w:ind w:left="0"/>
        <w:rPr>
          <w:lang w:eastAsia="en-US"/>
        </w:rPr>
      </w:pPr>
      <w:r w:rsidRPr="007257A1">
        <w:rPr>
          <w:lang w:eastAsia="en-US"/>
        </w:rPr>
        <w:t xml:space="preserve">Toezicht en handhaving zijn </w:t>
      </w:r>
      <w:r w:rsidR="00D06ADA">
        <w:rPr>
          <w:lang w:eastAsia="en-US"/>
        </w:rPr>
        <w:t>d</w:t>
      </w:r>
      <w:r w:rsidRPr="007257A1">
        <w:rPr>
          <w:lang w:eastAsia="en-US"/>
        </w:rPr>
        <w:t xml:space="preserve">e afgelopen jaren steeds meer ingebed in het integraal </w:t>
      </w:r>
      <w:r w:rsidRPr="00693D6A">
        <w:rPr>
          <w:lang w:eastAsia="en-US"/>
        </w:rPr>
        <w:t>veilighe</w:t>
      </w:r>
      <w:r w:rsidRPr="007257A1">
        <w:rPr>
          <w:lang w:eastAsia="en-US"/>
        </w:rPr>
        <w:t>idsbeleid. Het werkveld van toezicht en handhaving is volop in beweging. Diverse ontwikkelingen maken dat er behoefte is aan een duidelijke vi</w:t>
      </w:r>
      <w:r>
        <w:rPr>
          <w:lang w:eastAsia="en-US"/>
        </w:rPr>
        <w:t xml:space="preserve">sie op toezicht en handhaving. </w:t>
      </w:r>
      <w:r w:rsidRPr="007257A1">
        <w:rPr>
          <w:lang w:eastAsia="en-US"/>
        </w:rPr>
        <w:t>Zo t</w:t>
      </w:r>
      <w:r>
        <w:rPr>
          <w:lang w:eastAsia="en-US"/>
        </w:rPr>
        <w:t xml:space="preserve">rekt de Nationale Politie zich </w:t>
      </w:r>
      <w:r w:rsidRPr="007257A1">
        <w:rPr>
          <w:lang w:eastAsia="en-US"/>
        </w:rPr>
        <w:t>verder terug uit de lokale veiligheidsaanpak, wordt er door de Goudse samenleving een groter beroep gedaan op toezicht en handhaving en is de gemeentelijke organisatie volop in ontwikkeling.</w:t>
      </w:r>
    </w:p>
    <w:p w14:paraId="038BB1D9" w14:textId="5567E60B" w:rsidR="009D0004" w:rsidRDefault="009D0004" w:rsidP="007653A4">
      <w:pPr>
        <w:pStyle w:val="Standaardingesprongen"/>
        <w:rPr>
          <w:lang w:eastAsia="en-US"/>
        </w:rPr>
      </w:pPr>
    </w:p>
    <w:p w14:paraId="21328263" w14:textId="24459936" w:rsidR="009D0004" w:rsidRDefault="009D0004" w:rsidP="007653A4">
      <w:pPr>
        <w:pStyle w:val="Standaardingesprongen"/>
        <w:ind w:left="0"/>
        <w:rPr>
          <w:lang w:eastAsia="en-US"/>
        </w:rPr>
      </w:pPr>
      <w:r w:rsidRPr="007257A1">
        <w:rPr>
          <w:lang w:eastAsia="en-US"/>
        </w:rPr>
        <w:t xml:space="preserve">Buitengewoon opsporingsambtenaren (boa’s) hebben een steeds belangrijkere rol. Zij zijn zichtbaar op straat en treden zo nodig op om buurten en wijken veilig en leefbaar te maken én te houden. De boa heeft zich in de afgelopen jaren meer en meer ontwikkeld tot een professionele handhaver. Deze rol wil de gemeente Gouda de komende jaren verder professionaliseren. De boa is een gemeentelijke handhaver in de breedste zin van het woord. </w:t>
      </w:r>
    </w:p>
    <w:p w14:paraId="29C0DE6B" w14:textId="77777777" w:rsidR="009D0004" w:rsidRDefault="009D0004" w:rsidP="007653A4">
      <w:pPr>
        <w:pStyle w:val="Standaardingesprongen"/>
        <w:rPr>
          <w:lang w:eastAsia="en-US"/>
        </w:rPr>
      </w:pPr>
    </w:p>
    <w:p w14:paraId="07CC563D" w14:textId="397CCDE3" w:rsidR="009D0004" w:rsidRDefault="009D0004" w:rsidP="007653A4">
      <w:pPr>
        <w:pStyle w:val="Standaardingesprongen"/>
        <w:ind w:left="0"/>
        <w:rPr>
          <w:rFonts w:cs="Arial"/>
        </w:rPr>
      </w:pPr>
      <w:r w:rsidRPr="00875F5F">
        <w:rPr>
          <w:rFonts w:cs="Arial"/>
        </w:rPr>
        <w:t xml:space="preserve">Stadstoezicht levert een bijdrage aan een leefbare en veilige stad. Het toezicht houden en handhaven van de wet- en regelgeving in de openbare ruimte is daarbij nodig. Daarbij is het van groot belang dat de regels die democratisch zijn opgesteld ook worden nageleefd. De handhavers zien toe op de naleving van zowel gemeentelijke als landelijke regelgeving. Met als doel het voorkomen of signaleren van overtredingen om alledaagse ergernissen van inwoner(s) en bezoeker(s) aan te pakken. </w:t>
      </w:r>
    </w:p>
    <w:p w14:paraId="45151DCE" w14:textId="791048EF" w:rsidR="009D0004" w:rsidRPr="007257A1" w:rsidRDefault="009D0004" w:rsidP="007653A4">
      <w:pPr>
        <w:pStyle w:val="Standaardingesprongen"/>
        <w:ind w:left="0"/>
        <w:rPr>
          <w:lang w:eastAsia="en-US"/>
        </w:rPr>
      </w:pPr>
      <w:r>
        <w:rPr>
          <w:lang w:eastAsia="en-US"/>
        </w:rPr>
        <w:t>Stadstoezicht werkt</w:t>
      </w:r>
      <w:r w:rsidRPr="007257A1">
        <w:rPr>
          <w:lang w:eastAsia="en-US"/>
        </w:rPr>
        <w:t xml:space="preserve"> intensief samen met de politie en andere ketenpartners. De gemeente Gouda wil de samenwerking met de ketenpartners verder ontwikkelen en meer gezamenlijk inzetten op veiligheidsthema’s. Actuele thema’s waarbij de handhavers vaker betrokken wordt zijn bijvoorbeeld ondermijning en aanpak jeugdoverlast. De verantwoordelijkheid voor de handhaving van de openbare orde blijft primair bij de politie. De boa’s hebben een signalerende en informerende rol en wisselen informatie uit met de politie.</w:t>
      </w:r>
    </w:p>
    <w:p w14:paraId="562531CA" w14:textId="77777777" w:rsidR="009D0004" w:rsidRDefault="009D0004" w:rsidP="007653A4">
      <w:pPr>
        <w:pStyle w:val="Standaardingesprongen"/>
        <w:rPr>
          <w:lang w:eastAsia="en-US"/>
        </w:rPr>
      </w:pPr>
    </w:p>
    <w:p w14:paraId="6EFD089F" w14:textId="77777777" w:rsidR="005A1377" w:rsidRDefault="005A1377" w:rsidP="007653A4">
      <w:pPr>
        <w:pStyle w:val="Standaardingesprongen"/>
        <w:ind w:left="0"/>
        <w:rPr>
          <w:lang w:eastAsia="en-US"/>
        </w:rPr>
      </w:pPr>
    </w:p>
    <w:p w14:paraId="095525E4" w14:textId="2603E210" w:rsidR="009D0004" w:rsidRDefault="009D0004" w:rsidP="007653A4">
      <w:pPr>
        <w:pStyle w:val="Standaardingesprongen"/>
        <w:ind w:left="0"/>
        <w:rPr>
          <w:lang w:eastAsia="en-US"/>
        </w:rPr>
      </w:pPr>
      <w:r>
        <w:rPr>
          <w:lang w:eastAsia="en-US"/>
        </w:rPr>
        <w:t>De rol die de handhaver van Stadstoezicht hierin heeft:</w:t>
      </w:r>
    </w:p>
    <w:p w14:paraId="229B4112" w14:textId="05DD610A" w:rsidR="009D0004" w:rsidRDefault="009D0004" w:rsidP="007653A4">
      <w:pPr>
        <w:pStyle w:val="Standaardingesprongen"/>
        <w:ind w:left="705"/>
        <w:rPr>
          <w:lang w:eastAsia="en-US"/>
        </w:rPr>
      </w:pPr>
      <w:r>
        <w:rPr>
          <w:lang w:eastAsia="en-US"/>
        </w:rPr>
        <w:t></w:t>
      </w:r>
      <w:r>
        <w:rPr>
          <w:lang w:eastAsia="en-US"/>
        </w:rPr>
        <w:tab/>
        <w:t>De handhaver houdt toezicht door het voorkomen of signaleren van overtred</w:t>
      </w:r>
      <w:r w:rsidR="00C33898">
        <w:rPr>
          <w:lang w:eastAsia="en-US"/>
        </w:rPr>
        <w:t>ingen in de openbare ruimte. Hij</w:t>
      </w:r>
      <w:r>
        <w:rPr>
          <w:lang w:eastAsia="en-US"/>
        </w:rPr>
        <w:t xml:space="preserve"> heeft met name een bestuursrechtelijke taak, naast de strafrechtelijk taak van de politie;</w:t>
      </w:r>
    </w:p>
    <w:p w14:paraId="391C0D95" w14:textId="77777777" w:rsidR="009D0004" w:rsidRDefault="009D0004" w:rsidP="007653A4">
      <w:pPr>
        <w:pStyle w:val="Standaardingesprongen"/>
        <w:ind w:left="0"/>
        <w:rPr>
          <w:lang w:eastAsia="en-US"/>
        </w:rPr>
      </w:pPr>
      <w:r>
        <w:rPr>
          <w:lang w:eastAsia="en-US"/>
        </w:rPr>
        <w:t></w:t>
      </w:r>
      <w:r>
        <w:rPr>
          <w:lang w:eastAsia="en-US"/>
        </w:rPr>
        <w:tab/>
        <w:t>De handhaver en politie werken vanuit hun eigen rol, op basis van gelijkwaardigheid, aan de veiligheid en leefbaarheid van stad en wijk;</w:t>
      </w:r>
    </w:p>
    <w:p w14:paraId="0441CFE5" w14:textId="77777777" w:rsidR="009D0004" w:rsidRDefault="009D0004" w:rsidP="007653A4">
      <w:pPr>
        <w:pStyle w:val="Standaardingesprongen"/>
        <w:ind w:left="0"/>
        <w:rPr>
          <w:lang w:eastAsia="en-US"/>
        </w:rPr>
      </w:pPr>
      <w:r>
        <w:rPr>
          <w:lang w:eastAsia="en-US"/>
        </w:rPr>
        <w:t></w:t>
      </w:r>
      <w:r>
        <w:rPr>
          <w:lang w:eastAsia="en-US"/>
        </w:rPr>
        <w:tab/>
        <w:t>De handhaver helpt om alledaagse ergernissen van bewoner en bezoeker te voorkomen of verhelpen.</w:t>
      </w:r>
    </w:p>
    <w:p w14:paraId="6BD13198" w14:textId="77777777" w:rsidR="009D0004" w:rsidRDefault="009D0004" w:rsidP="007653A4">
      <w:pPr>
        <w:pStyle w:val="Standaardingesprongen"/>
        <w:rPr>
          <w:lang w:eastAsia="en-US"/>
        </w:rPr>
      </w:pPr>
    </w:p>
    <w:p w14:paraId="2ED40443" w14:textId="751D86CE" w:rsidR="009D0004" w:rsidRDefault="009D0004" w:rsidP="007653A4">
      <w:pPr>
        <w:pStyle w:val="Standaardingesprongen"/>
        <w:ind w:left="0"/>
        <w:rPr>
          <w:lang w:eastAsia="en-US"/>
        </w:rPr>
      </w:pPr>
      <w:r>
        <w:rPr>
          <w:lang w:eastAsia="en-US"/>
        </w:rPr>
        <w:t xml:space="preserve">Hieronder </w:t>
      </w:r>
      <w:r w:rsidRPr="007257A1">
        <w:rPr>
          <w:lang w:eastAsia="en-US"/>
        </w:rPr>
        <w:t>enkele thema’s waar de toezichthouders en handhavers in de periode 2019-2022 verder op ingezet zullen worden. Deze lijst is niet limitatief, maar geeft een aantal thema’s weer die op dit</w:t>
      </w:r>
      <w:r>
        <w:rPr>
          <w:lang w:eastAsia="en-US"/>
        </w:rPr>
        <w:t xml:space="preserve"> moment prioriteit hebben:</w:t>
      </w:r>
    </w:p>
    <w:p w14:paraId="7BCAD34D" w14:textId="77777777" w:rsidR="009D0004" w:rsidRDefault="009D0004" w:rsidP="007653A4">
      <w:pPr>
        <w:pStyle w:val="Standaardingesprongen"/>
        <w:numPr>
          <w:ilvl w:val="0"/>
          <w:numId w:val="36"/>
        </w:numPr>
        <w:ind w:firstLine="0"/>
        <w:rPr>
          <w:lang w:eastAsia="en-US"/>
        </w:rPr>
      </w:pPr>
      <w:r>
        <w:rPr>
          <w:lang w:eastAsia="en-US"/>
        </w:rPr>
        <w:t>Jeugdoverlast</w:t>
      </w:r>
    </w:p>
    <w:p w14:paraId="2F193718" w14:textId="76A03325" w:rsidR="009D0004" w:rsidRDefault="009D0004" w:rsidP="007653A4">
      <w:pPr>
        <w:pStyle w:val="Standaardingesprongen"/>
        <w:numPr>
          <w:ilvl w:val="0"/>
          <w:numId w:val="36"/>
        </w:numPr>
        <w:ind w:firstLine="0"/>
        <w:rPr>
          <w:lang w:eastAsia="en-US"/>
        </w:rPr>
      </w:pPr>
      <w:r>
        <w:rPr>
          <w:lang w:eastAsia="en-US"/>
        </w:rPr>
        <w:t>Mobiliteit</w:t>
      </w:r>
      <w:r w:rsidR="00D06ADA">
        <w:rPr>
          <w:lang w:eastAsia="en-US"/>
        </w:rPr>
        <w:t>, verkeer en parkeren.</w:t>
      </w:r>
    </w:p>
    <w:p w14:paraId="40161896" w14:textId="70D6AC63" w:rsidR="00D06ADA" w:rsidRPr="009D0004" w:rsidRDefault="00D06ADA" w:rsidP="007653A4">
      <w:pPr>
        <w:pStyle w:val="Standaardingesprongen"/>
        <w:numPr>
          <w:ilvl w:val="0"/>
          <w:numId w:val="36"/>
        </w:numPr>
        <w:ind w:firstLine="0"/>
        <w:rPr>
          <w:rFonts w:cs="Arial"/>
        </w:rPr>
      </w:pPr>
      <w:r w:rsidRPr="00182002">
        <w:rPr>
          <w:rFonts w:cs="Arial"/>
        </w:rPr>
        <w:t>Milieu</w:t>
      </w:r>
      <w:r>
        <w:rPr>
          <w:rFonts w:cs="Arial"/>
        </w:rPr>
        <w:t xml:space="preserve"> (inclusief ‘afval scheiden loont’)</w:t>
      </w:r>
      <w:r w:rsidRPr="00182002">
        <w:rPr>
          <w:rFonts w:cs="Arial"/>
        </w:rPr>
        <w:t xml:space="preserve"> en hondenoverlast</w:t>
      </w:r>
    </w:p>
    <w:p w14:paraId="756372F3" w14:textId="77777777" w:rsidR="009D0004" w:rsidRDefault="009D0004" w:rsidP="007653A4">
      <w:pPr>
        <w:pStyle w:val="Standaardingesprongen"/>
        <w:numPr>
          <w:ilvl w:val="0"/>
          <w:numId w:val="36"/>
        </w:numPr>
        <w:ind w:firstLine="0"/>
        <w:rPr>
          <w:lang w:eastAsia="en-US"/>
        </w:rPr>
      </w:pPr>
      <w:r>
        <w:rPr>
          <w:lang w:eastAsia="en-US"/>
        </w:rPr>
        <w:t>Ondermijning</w:t>
      </w:r>
    </w:p>
    <w:p w14:paraId="033DCF50" w14:textId="77777777" w:rsidR="009D0004" w:rsidRDefault="009D0004" w:rsidP="007653A4">
      <w:pPr>
        <w:pStyle w:val="Standaardingesprongen"/>
        <w:numPr>
          <w:ilvl w:val="0"/>
          <w:numId w:val="36"/>
        </w:numPr>
        <w:ind w:firstLine="0"/>
        <w:rPr>
          <w:lang w:eastAsia="en-US"/>
        </w:rPr>
      </w:pPr>
      <w:r>
        <w:rPr>
          <w:lang w:eastAsia="en-US"/>
        </w:rPr>
        <w:t>Handhaven APV en Drank en horecavergunningen</w:t>
      </w:r>
    </w:p>
    <w:p w14:paraId="7546ED6D" w14:textId="77777777" w:rsidR="009D0004" w:rsidRDefault="009D0004" w:rsidP="007653A4">
      <w:pPr>
        <w:pStyle w:val="Standaardingesprongen"/>
        <w:numPr>
          <w:ilvl w:val="0"/>
          <w:numId w:val="36"/>
        </w:numPr>
        <w:ind w:firstLine="0"/>
        <w:rPr>
          <w:lang w:eastAsia="en-US"/>
        </w:rPr>
      </w:pPr>
      <w:r>
        <w:rPr>
          <w:lang w:eastAsia="en-US"/>
        </w:rPr>
        <w:t>Toezicht woninginbraken</w:t>
      </w:r>
    </w:p>
    <w:p w14:paraId="5B7F0D6F" w14:textId="4B13DFB7" w:rsidR="008F0396" w:rsidRDefault="009D0004" w:rsidP="007653A4">
      <w:pPr>
        <w:pStyle w:val="Standaardingesprongen"/>
        <w:numPr>
          <w:ilvl w:val="0"/>
          <w:numId w:val="36"/>
        </w:numPr>
        <w:ind w:firstLine="0"/>
        <w:rPr>
          <w:lang w:eastAsia="en-US"/>
        </w:rPr>
      </w:pPr>
      <w:r>
        <w:rPr>
          <w:lang w:eastAsia="en-US"/>
        </w:rPr>
        <w:t>Cameratoezich</w:t>
      </w:r>
      <w:r w:rsidR="00AC5F90">
        <w:rPr>
          <w:lang w:eastAsia="en-US"/>
        </w:rPr>
        <w:t>t</w:t>
      </w:r>
    </w:p>
    <w:p w14:paraId="7C40AE8C" w14:textId="77777777" w:rsidR="005A1377" w:rsidRDefault="005A1377" w:rsidP="007653A4">
      <w:pPr>
        <w:pStyle w:val="Standaardingesprongen"/>
        <w:rPr>
          <w:lang w:eastAsia="en-US"/>
        </w:rPr>
      </w:pPr>
    </w:p>
    <w:p w14:paraId="58753B8D" w14:textId="77777777" w:rsidR="005A1377" w:rsidRDefault="005A1377" w:rsidP="007653A4">
      <w:pPr>
        <w:pStyle w:val="Standaardingesprongen"/>
        <w:rPr>
          <w:lang w:eastAsia="en-US"/>
        </w:rPr>
      </w:pPr>
    </w:p>
    <w:p w14:paraId="4C00E49F" w14:textId="77777777" w:rsidR="005A1377" w:rsidRDefault="005A1377" w:rsidP="007653A4">
      <w:pPr>
        <w:pStyle w:val="Standaardingesprongen"/>
        <w:rPr>
          <w:lang w:eastAsia="en-US"/>
        </w:rPr>
      </w:pPr>
    </w:p>
    <w:p w14:paraId="594F8F16" w14:textId="77777777" w:rsidR="005A1377" w:rsidRDefault="005A1377" w:rsidP="007653A4">
      <w:pPr>
        <w:pStyle w:val="Standaardingesprongen"/>
        <w:rPr>
          <w:lang w:eastAsia="en-US"/>
        </w:rPr>
      </w:pPr>
    </w:p>
    <w:p w14:paraId="5C312B56" w14:textId="77777777" w:rsidR="005A1377" w:rsidRDefault="005A1377" w:rsidP="007653A4">
      <w:pPr>
        <w:pStyle w:val="Standaardingesprongen"/>
        <w:rPr>
          <w:lang w:eastAsia="en-US"/>
        </w:rPr>
      </w:pPr>
    </w:p>
    <w:p w14:paraId="6558751B" w14:textId="77777777" w:rsidR="005A1377" w:rsidRDefault="005A1377" w:rsidP="007653A4">
      <w:pPr>
        <w:pStyle w:val="Standaardingesprongen"/>
        <w:rPr>
          <w:lang w:eastAsia="en-US"/>
        </w:rPr>
      </w:pPr>
    </w:p>
    <w:p w14:paraId="0D91781C" w14:textId="77777777" w:rsidR="005A1377" w:rsidRDefault="005A1377" w:rsidP="007653A4">
      <w:pPr>
        <w:pStyle w:val="Standaardingesprongen"/>
        <w:rPr>
          <w:lang w:eastAsia="en-US"/>
        </w:rPr>
      </w:pPr>
    </w:p>
    <w:p w14:paraId="20B981D9" w14:textId="58114874" w:rsidR="005A1377" w:rsidRDefault="00B632FC" w:rsidP="007653A4">
      <w:pPr>
        <w:pStyle w:val="Standaardingesprongen"/>
        <w:rPr>
          <w:lang w:eastAsia="en-US"/>
        </w:rPr>
      </w:pPr>
      <w:r>
        <w:rPr>
          <w:noProof/>
        </w:rPr>
        <mc:AlternateContent>
          <mc:Choice Requires="wps">
            <w:drawing>
              <wp:anchor distT="91440" distB="91440" distL="114300" distR="114300" simplePos="0" relativeHeight="251688960" behindDoc="0" locked="0" layoutInCell="1" allowOverlap="1" wp14:anchorId="219C693C" wp14:editId="06AB60F4">
                <wp:simplePos x="0" y="0"/>
                <wp:positionH relativeFrom="margin">
                  <wp:posOffset>1752600</wp:posOffset>
                </wp:positionH>
                <wp:positionV relativeFrom="paragraph">
                  <wp:posOffset>249555</wp:posOffset>
                </wp:positionV>
                <wp:extent cx="5201920" cy="905510"/>
                <wp:effectExtent l="0" t="0" r="0" b="0"/>
                <wp:wrapTopAndBottom/>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905510"/>
                        </a:xfrm>
                        <a:prstGeom prst="rect">
                          <a:avLst/>
                        </a:prstGeom>
                        <a:noFill/>
                        <a:ln w="9525">
                          <a:noFill/>
                          <a:miter lim="800000"/>
                          <a:headEnd/>
                          <a:tailEnd/>
                        </a:ln>
                      </wps:spPr>
                      <wps:txbx>
                        <w:txbxContent>
                          <w:p w14:paraId="215AC8D6" w14:textId="7E862775" w:rsidR="002036F8" w:rsidRDefault="002036F8" w:rsidP="00B632F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‘’stadstoezicht levert een bijdrage aan een leefbare en veilige stad’’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4" type="#_x0000_t202" style="position:absolute;left:0;text-align:left;margin-left:138pt;margin-top:19.65pt;width:409.6pt;height:71.3pt;z-index:251688960;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" filled="f" stroked="f">
                <v:textbox style="mso-fit-shape-to-text:t">
                  <w:txbxContent>
                    <w:p w14:paraId="215AC8D6" w14:textId="7E862775" w:rsidR="002036F8" w:rsidRDefault="002036F8" w:rsidP="00B632F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‘’stadstoezicht levert een bijdrage aan een leefbare en veilige stad’’</w:t>
                      </w:r>
                    </w:p>
                  </w:txbxContent>
                </v:textbox>
                <w10:wrap type="topAndBottom" anchorx="margin"/>
              </v:shape>
            </w:pict>
          </mc:Fallback>
        </mc:AlternateContent>
      </w:r>
    </w:p>
    <w:p w14:paraId="07B713BD" w14:textId="51A8E977" w:rsidR="005A1377" w:rsidRDefault="005A1377" w:rsidP="007653A4">
      <w:pPr>
        <w:pStyle w:val="Standaardingesprongen"/>
        <w:rPr>
          <w:lang w:eastAsia="en-US"/>
        </w:rPr>
      </w:pPr>
    </w:p>
    <w:p w14:paraId="157CEC17" w14:textId="2795B543" w:rsidR="005A1377" w:rsidRDefault="005A1377" w:rsidP="007653A4">
      <w:pPr>
        <w:pStyle w:val="Standaardingesprongen"/>
        <w:rPr>
          <w:lang w:eastAsia="en-US"/>
        </w:rPr>
      </w:pPr>
    </w:p>
    <w:p w14:paraId="7479EB32" w14:textId="77777777" w:rsidR="005A1377" w:rsidRDefault="005A1377" w:rsidP="007653A4">
      <w:pPr>
        <w:pStyle w:val="Standaardingesprongen"/>
        <w:rPr>
          <w:lang w:eastAsia="en-US"/>
        </w:rPr>
      </w:pPr>
    </w:p>
    <w:p w14:paraId="0440C9E4" w14:textId="77777777" w:rsidR="005A1377" w:rsidRDefault="005A1377" w:rsidP="007653A4">
      <w:pPr>
        <w:pStyle w:val="Standaardingesprongen"/>
        <w:rPr>
          <w:lang w:eastAsia="en-US"/>
        </w:rPr>
      </w:pPr>
    </w:p>
    <w:p w14:paraId="448DD285" w14:textId="77777777" w:rsidR="005A1377" w:rsidRDefault="005A1377" w:rsidP="007653A4">
      <w:pPr>
        <w:pStyle w:val="Standaardingesprongen"/>
        <w:rPr>
          <w:lang w:eastAsia="en-US"/>
        </w:rPr>
      </w:pPr>
    </w:p>
    <w:p w14:paraId="0FD215FB" w14:textId="77777777" w:rsidR="005A1377" w:rsidRDefault="005A1377" w:rsidP="007653A4">
      <w:pPr>
        <w:pStyle w:val="Standaardingesprongen"/>
        <w:rPr>
          <w:lang w:eastAsia="en-US"/>
        </w:rPr>
      </w:pPr>
    </w:p>
    <w:p w14:paraId="09A1F39C" w14:textId="77777777" w:rsidR="005A1377" w:rsidRDefault="005A1377" w:rsidP="007653A4">
      <w:pPr>
        <w:pStyle w:val="Standaardingesprongen"/>
        <w:rPr>
          <w:lang w:eastAsia="en-US"/>
        </w:rPr>
      </w:pPr>
    </w:p>
    <w:p w14:paraId="250B6EB5" w14:textId="77777777" w:rsidR="005A1377" w:rsidRDefault="005A1377" w:rsidP="007653A4">
      <w:pPr>
        <w:pStyle w:val="Standaardingesprongen"/>
        <w:rPr>
          <w:lang w:eastAsia="en-US"/>
        </w:rPr>
      </w:pPr>
    </w:p>
    <w:p w14:paraId="42A2D0B9" w14:textId="77777777" w:rsidR="005A1377" w:rsidRDefault="005A1377" w:rsidP="007653A4">
      <w:pPr>
        <w:pStyle w:val="Standaardingesprongen"/>
        <w:rPr>
          <w:lang w:eastAsia="en-US"/>
        </w:rPr>
      </w:pPr>
    </w:p>
    <w:p w14:paraId="7B2E212B" w14:textId="77777777" w:rsidR="005A1377" w:rsidRDefault="005A1377" w:rsidP="007653A4">
      <w:pPr>
        <w:pStyle w:val="Standaardingesprongen"/>
        <w:rPr>
          <w:lang w:eastAsia="en-US"/>
        </w:rPr>
      </w:pPr>
    </w:p>
    <w:p w14:paraId="69E855A2" w14:textId="77777777" w:rsidR="005A1377" w:rsidRDefault="005A1377" w:rsidP="007653A4">
      <w:pPr>
        <w:pStyle w:val="Standaardingesprongen"/>
        <w:ind w:left="0"/>
        <w:rPr>
          <w:lang w:eastAsia="en-US"/>
        </w:rPr>
      </w:pPr>
    </w:p>
    <w:p w14:paraId="112A212A" w14:textId="77777777" w:rsidR="005A1377" w:rsidRDefault="005A1377" w:rsidP="007653A4">
      <w:pPr>
        <w:pStyle w:val="Standaardingesprongen"/>
        <w:rPr>
          <w:lang w:eastAsia="en-US"/>
        </w:rPr>
      </w:pPr>
    </w:p>
    <w:p w14:paraId="0F71D226" w14:textId="77777777" w:rsidR="007970DA" w:rsidRDefault="007970DA" w:rsidP="007653A4">
      <w:pPr>
        <w:pStyle w:val="Itemsnrsniveau1"/>
        <w:ind w:firstLine="0"/>
      </w:pPr>
      <w:bookmarkStart w:id="12" w:name="_Toc531857283"/>
      <w:r>
        <w:t>Basisaanpak</w:t>
      </w:r>
      <w:bookmarkEnd w:id="12"/>
    </w:p>
    <w:p w14:paraId="1C97BBF2" w14:textId="77777777" w:rsidR="007970DA" w:rsidRDefault="007970DA" w:rsidP="007653A4">
      <w:pPr>
        <w:pStyle w:val="Standaardingesprongen"/>
        <w:rPr>
          <w:lang w:eastAsia="en-US"/>
        </w:rPr>
      </w:pPr>
    </w:p>
    <w:p w14:paraId="0411F8FA" w14:textId="443EAA66" w:rsidR="00FB5DAD" w:rsidRPr="005D4AB0" w:rsidRDefault="00FB5DAD" w:rsidP="007653A4">
      <w:pPr>
        <w:pStyle w:val="bSubkop"/>
        <w:spacing w:line="240" w:lineRule="auto"/>
        <w:rPr>
          <w:b w:val="0"/>
          <w:sz w:val="20"/>
          <w:szCs w:val="20"/>
        </w:rPr>
      </w:pPr>
      <w:r w:rsidRPr="005D4AB0">
        <w:rPr>
          <w:b w:val="0"/>
          <w:sz w:val="20"/>
          <w:szCs w:val="20"/>
        </w:rPr>
        <w:t xml:space="preserve">Er zijn op het gebied van veiligheid veel meer onderwerpen van belang die in deze Kadernota niet tot prioriteit zijn benoemd. Deze onderwerpen </w:t>
      </w:r>
      <w:r w:rsidR="00CA2E97">
        <w:rPr>
          <w:b w:val="0"/>
          <w:sz w:val="20"/>
          <w:szCs w:val="20"/>
        </w:rPr>
        <w:t>worden regulier uitgevoerd</w:t>
      </w:r>
      <w:r w:rsidRPr="005D4AB0">
        <w:rPr>
          <w:b w:val="0"/>
          <w:sz w:val="20"/>
          <w:szCs w:val="20"/>
        </w:rPr>
        <w:t>, zij krijgen alleen geen extra aandacht in de komende jaren. Op deze onderwerpen wordt een basisaanpak ingezet, die recht doet aan de taak of opgave die er op dat terrein ligt.</w:t>
      </w:r>
    </w:p>
    <w:p w14:paraId="40893BED" w14:textId="03DF21AB" w:rsidR="00B96E50" w:rsidRDefault="005D4AB0" w:rsidP="007653A4">
      <w:pPr>
        <w:pStyle w:val="bSubkop"/>
        <w:spacing w:line="240" w:lineRule="auto"/>
        <w:rPr>
          <w:b w:val="0"/>
          <w:sz w:val="20"/>
          <w:szCs w:val="20"/>
        </w:rPr>
      </w:pPr>
      <w:r w:rsidRPr="00B96E50">
        <w:rPr>
          <w:sz w:val="20"/>
          <w:szCs w:val="20"/>
        </w:rPr>
        <w:t>Rampbestrijding en crisisbeheersing:</w:t>
      </w:r>
      <w:r w:rsidRPr="005D4AB0">
        <w:rPr>
          <w:b w:val="0"/>
          <w:sz w:val="20"/>
          <w:szCs w:val="20"/>
        </w:rPr>
        <w:t xml:space="preserve"> </w:t>
      </w:r>
      <w:r w:rsidR="005A1377">
        <w:rPr>
          <w:b w:val="0"/>
          <w:sz w:val="20"/>
          <w:szCs w:val="20"/>
        </w:rPr>
        <w:br/>
        <w:t>D</w:t>
      </w:r>
      <w:r w:rsidRPr="005D4AB0">
        <w:rPr>
          <w:b w:val="0"/>
          <w:sz w:val="20"/>
          <w:szCs w:val="20"/>
        </w:rPr>
        <w:t>e conclusies en aanbevelingen die uit de recente audit op de crisisorganisatie opgehaald zijn, worden uitgevoerd.</w:t>
      </w:r>
      <w:r w:rsidR="00F7059C">
        <w:rPr>
          <w:b w:val="0"/>
          <w:sz w:val="20"/>
          <w:szCs w:val="20"/>
        </w:rPr>
        <w:t xml:space="preserve"> </w:t>
      </w:r>
      <w:r w:rsidR="00C0572B">
        <w:rPr>
          <w:b w:val="0"/>
          <w:sz w:val="20"/>
          <w:szCs w:val="20"/>
        </w:rPr>
        <w:t xml:space="preserve">Uit </w:t>
      </w:r>
      <w:r w:rsidR="00C0572B" w:rsidRPr="00C0572B">
        <w:rPr>
          <w:b w:val="0"/>
          <w:sz w:val="20"/>
          <w:szCs w:val="20"/>
        </w:rPr>
        <w:t>de audit blijkt dat Gouda</w:t>
      </w:r>
      <w:r w:rsidR="00C0572B">
        <w:rPr>
          <w:b w:val="0"/>
          <w:sz w:val="20"/>
          <w:szCs w:val="20"/>
        </w:rPr>
        <w:t xml:space="preserve"> </w:t>
      </w:r>
      <w:r w:rsidR="00C0572B" w:rsidRPr="00C0572B">
        <w:rPr>
          <w:b w:val="0"/>
          <w:sz w:val="20"/>
          <w:szCs w:val="20"/>
        </w:rPr>
        <w:t xml:space="preserve">planmatig goed </w:t>
      </w:r>
      <w:r w:rsidR="00C0572B">
        <w:rPr>
          <w:b w:val="0"/>
          <w:sz w:val="20"/>
          <w:szCs w:val="20"/>
        </w:rPr>
        <w:t xml:space="preserve">is </w:t>
      </w:r>
      <w:r w:rsidR="00C0572B" w:rsidRPr="00C0572B">
        <w:rPr>
          <w:b w:val="0"/>
          <w:sz w:val="20"/>
          <w:szCs w:val="20"/>
        </w:rPr>
        <w:t xml:space="preserve">voorbereid op de multidisciplinaire bestrijding van rampen en crises via aansluiting bij de actuele plannen van de </w:t>
      </w:r>
      <w:r w:rsidR="00C0572B">
        <w:rPr>
          <w:b w:val="0"/>
          <w:sz w:val="20"/>
          <w:szCs w:val="20"/>
        </w:rPr>
        <w:t>Veiligheidsregio Hollands Midden (</w:t>
      </w:r>
      <w:r w:rsidR="00C0572B" w:rsidRPr="00C0572B">
        <w:rPr>
          <w:b w:val="0"/>
          <w:sz w:val="20"/>
          <w:szCs w:val="20"/>
        </w:rPr>
        <w:t>VRHM</w:t>
      </w:r>
      <w:r w:rsidR="00C0572B">
        <w:rPr>
          <w:b w:val="0"/>
          <w:sz w:val="20"/>
          <w:szCs w:val="20"/>
        </w:rPr>
        <w:t>)</w:t>
      </w:r>
      <w:r w:rsidR="00C0572B" w:rsidRPr="00C0572B">
        <w:rPr>
          <w:b w:val="0"/>
          <w:sz w:val="20"/>
          <w:szCs w:val="20"/>
        </w:rPr>
        <w:t xml:space="preserve">. Voor bevolkingszorg heeft de VRHM een monodisciplinaire, moderne visie en uitwerking daarvan voor de uitvoering van de processen die onder de verantwoordelijkheid van de gemeente vallen. </w:t>
      </w:r>
      <w:r w:rsidR="00984331" w:rsidRPr="00C0572B">
        <w:rPr>
          <w:b w:val="0"/>
          <w:sz w:val="20"/>
          <w:szCs w:val="20"/>
        </w:rPr>
        <w:t xml:space="preserve">Een van de aanbevelingen </w:t>
      </w:r>
      <w:r w:rsidR="00B96E50">
        <w:rPr>
          <w:b w:val="0"/>
          <w:sz w:val="20"/>
          <w:szCs w:val="20"/>
        </w:rPr>
        <w:t xml:space="preserve">ter verbetering </w:t>
      </w:r>
      <w:r w:rsidR="00984331" w:rsidRPr="00C0572B">
        <w:rPr>
          <w:b w:val="0"/>
          <w:sz w:val="20"/>
          <w:szCs w:val="20"/>
        </w:rPr>
        <w:t>betrof het opstellen van een integrale visie op de</w:t>
      </w:r>
      <w:r w:rsidR="00C0572B" w:rsidRPr="00C0572B">
        <w:rPr>
          <w:b w:val="0"/>
          <w:sz w:val="20"/>
          <w:szCs w:val="20"/>
        </w:rPr>
        <w:t xml:space="preserve"> inzet van de</w:t>
      </w:r>
      <w:r w:rsidR="00984331" w:rsidRPr="00C0572B">
        <w:rPr>
          <w:b w:val="0"/>
          <w:sz w:val="20"/>
          <w:szCs w:val="20"/>
        </w:rPr>
        <w:t xml:space="preserve"> crisisorganisatie voor incidenten in het sociaal domein.</w:t>
      </w:r>
      <w:r w:rsidR="00B96E50">
        <w:rPr>
          <w:b w:val="0"/>
          <w:sz w:val="20"/>
          <w:szCs w:val="20"/>
        </w:rPr>
        <w:t xml:space="preserve"> </w:t>
      </w:r>
      <w:r w:rsidR="00CA2E97">
        <w:rPr>
          <w:b w:val="0"/>
          <w:sz w:val="20"/>
          <w:szCs w:val="20"/>
        </w:rPr>
        <w:t>Hier wordt momenteel aan gewerkt</w:t>
      </w:r>
      <w:r w:rsidR="00B96E50">
        <w:rPr>
          <w:b w:val="0"/>
          <w:sz w:val="20"/>
          <w:szCs w:val="20"/>
        </w:rPr>
        <w:t>.</w:t>
      </w:r>
    </w:p>
    <w:p w14:paraId="6BCCDA46" w14:textId="77777777" w:rsidR="00040AC1" w:rsidRPr="00AB46FF" w:rsidRDefault="00040AC1" w:rsidP="007653A4">
      <w:pPr>
        <w:rPr>
          <w:b/>
        </w:rPr>
      </w:pPr>
      <w:r w:rsidRPr="00AB46FF">
        <w:rPr>
          <w:b/>
        </w:rPr>
        <w:t>Vergunningen en ontheffingen</w:t>
      </w:r>
    </w:p>
    <w:p w14:paraId="2CDE8DD7" w14:textId="61CCB63B" w:rsidR="00040AC1" w:rsidRPr="00D21F17" w:rsidRDefault="00040AC1" w:rsidP="007653A4">
      <w:pPr>
        <w:pStyle w:val="Default"/>
        <w:rPr>
          <w:sz w:val="20"/>
          <w:szCs w:val="20"/>
        </w:rPr>
      </w:pPr>
      <w:r>
        <w:rPr>
          <w:sz w:val="20"/>
          <w:szCs w:val="20"/>
        </w:rPr>
        <w:t xml:space="preserve">De </w:t>
      </w:r>
      <w:r w:rsidR="00D06ADA">
        <w:rPr>
          <w:sz w:val="20"/>
          <w:szCs w:val="20"/>
        </w:rPr>
        <w:t xml:space="preserve">afdeling Veiligheid en Wijken van de </w:t>
      </w:r>
      <w:r>
        <w:rPr>
          <w:sz w:val="20"/>
          <w:szCs w:val="20"/>
        </w:rPr>
        <w:t>gemeente verstrekt vergunningen en ontheffingen op o.a. het gebied van de openbare orde en de openbare veiligheid. Denk aan aanvragen voor evenementenvergunningen, standplaatsvergunningen, horeca-exploita</w:t>
      </w:r>
      <w:r w:rsidRPr="007106F2">
        <w:rPr>
          <w:sz w:val="20"/>
          <w:szCs w:val="20"/>
        </w:rPr>
        <w:t xml:space="preserve">tievergunningen, sluitingstijden of exploitatievergunningen voor seksinrichtingen. Daarnaast kunnen er voorschriften gesteld worden bij het organiseren van manifestaties zoals demonstraties. </w:t>
      </w:r>
      <w:r w:rsidR="001D6F5A" w:rsidRPr="007106F2">
        <w:rPr>
          <w:sz w:val="20"/>
          <w:szCs w:val="20"/>
        </w:rPr>
        <w:t>In 2019 wordt het prostitutiebeleid vernieuwd, hierbij zal ook oog zijn voor mensenhandel.</w:t>
      </w:r>
      <w:r w:rsidR="007106F2" w:rsidRPr="007106F2">
        <w:rPr>
          <w:sz w:val="20"/>
          <w:szCs w:val="20"/>
        </w:rPr>
        <w:t xml:space="preserve"> Daarnaast is mensenhandel een thema in de regionale visie “ Geweld hoort nergens thuis” </w:t>
      </w:r>
    </w:p>
    <w:p w14:paraId="70F445D9" w14:textId="77777777" w:rsidR="00040AC1" w:rsidRDefault="00040AC1" w:rsidP="007653A4"/>
    <w:p w14:paraId="66288061" w14:textId="77777777" w:rsidR="00040AC1" w:rsidRPr="00CC390F" w:rsidRDefault="00040AC1" w:rsidP="007653A4">
      <w:pPr>
        <w:rPr>
          <w:b/>
        </w:rPr>
      </w:pPr>
      <w:r w:rsidRPr="00CC390F">
        <w:rPr>
          <w:b/>
        </w:rPr>
        <w:t>Evenementen</w:t>
      </w:r>
    </w:p>
    <w:p w14:paraId="3AD1EE78" w14:textId="3DD10455" w:rsidR="00040AC1" w:rsidRDefault="00040AC1" w:rsidP="007653A4">
      <w:pPr>
        <w:rPr>
          <w:rFonts w:cs="Tahoma"/>
          <w:color w:val="000000"/>
        </w:rPr>
      </w:pPr>
      <w:r>
        <w:rPr>
          <w:rFonts w:cs="Tahoma"/>
          <w:color w:val="000000"/>
        </w:rPr>
        <w:t>De gemeente toetst vergunningaanvragen voor grote evenementen op veiligheid en impact op de openbare orde. Organisatoren dienen daarvoor een veiligheidsplan te overleggen wat betrekking heeft op o.a. beveiliging, calamiteitenscenario’s, brandveiligheid, verkeerscirculatie en communicatie. De gemeente en haar partners adviseren organisatoren hierbij.</w:t>
      </w:r>
      <w:r w:rsidR="00CE749B">
        <w:rPr>
          <w:rFonts w:cs="Tahoma"/>
          <w:color w:val="000000"/>
        </w:rPr>
        <w:t xml:space="preserve"> </w:t>
      </w:r>
      <w:r w:rsidR="00CE749B" w:rsidRPr="00CE749B">
        <w:rPr>
          <w:rFonts w:cs="Tahoma"/>
          <w:color w:val="000000"/>
        </w:rPr>
        <w:t>Bij sommige risicovolle evenementen kunnen er restrisico’s overblijven. Hiervoor maakt de gemeente samen met de hulpdiensten</w:t>
      </w:r>
      <w:r w:rsidR="00C64FA7">
        <w:rPr>
          <w:rFonts w:cs="Tahoma"/>
          <w:color w:val="000000"/>
        </w:rPr>
        <w:t xml:space="preserve"> aanvullend</w:t>
      </w:r>
      <w:r w:rsidR="00CE749B" w:rsidRPr="00CE749B">
        <w:rPr>
          <w:rFonts w:cs="Tahoma"/>
          <w:color w:val="000000"/>
        </w:rPr>
        <w:t xml:space="preserve"> een integraal operationeel plan. Het geeft inzicht in de </w:t>
      </w:r>
      <w:r w:rsidR="00D06ADA">
        <w:rPr>
          <w:rFonts w:cs="Tahoma"/>
          <w:color w:val="000000"/>
        </w:rPr>
        <w:t>(</w:t>
      </w:r>
      <w:r w:rsidR="00CE749B" w:rsidRPr="00CE749B">
        <w:rPr>
          <w:rFonts w:cs="Tahoma"/>
          <w:color w:val="000000"/>
        </w:rPr>
        <w:t>extra</w:t>
      </w:r>
      <w:r w:rsidR="00D06ADA">
        <w:rPr>
          <w:rFonts w:cs="Tahoma"/>
          <w:color w:val="000000"/>
        </w:rPr>
        <w:t>)</w:t>
      </w:r>
      <w:r w:rsidR="00CE749B" w:rsidRPr="00CE749B">
        <w:rPr>
          <w:rFonts w:cs="Tahoma"/>
          <w:color w:val="000000"/>
        </w:rPr>
        <w:t xml:space="preserve"> maatregelen die gemeente en hulpdiensten nemen om het evenement veilig te laten verlopen.</w:t>
      </w:r>
      <w:r w:rsidR="00CE749B">
        <w:rPr>
          <w:rFonts w:cs="Tahoma"/>
          <w:color w:val="000000"/>
        </w:rPr>
        <w:t xml:space="preserve"> </w:t>
      </w:r>
    </w:p>
    <w:p w14:paraId="22B63448" w14:textId="77777777" w:rsidR="00040AC1" w:rsidRDefault="00040AC1" w:rsidP="007653A4"/>
    <w:p w14:paraId="43007AF5" w14:textId="77777777" w:rsidR="00056AA0" w:rsidRPr="00056AA0" w:rsidRDefault="00056AA0" w:rsidP="007653A4">
      <w:pPr>
        <w:rPr>
          <w:b/>
        </w:rPr>
      </w:pPr>
      <w:r w:rsidRPr="00056AA0">
        <w:rPr>
          <w:b/>
        </w:rPr>
        <w:t>Gebiedsregie</w:t>
      </w:r>
    </w:p>
    <w:p w14:paraId="0479E9D1" w14:textId="729F7E28" w:rsidR="00040AC1" w:rsidRDefault="00056AA0" w:rsidP="007653A4">
      <w:r>
        <w:rPr>
          <w:rFonts w:cs="Arial"/>
        </w:rPr>
        <w:t xml:space="preserve">In de drie gebieden (Noord, Oost, West) is een gebiedsregisseur vanuit de gemeente actief op het gebied van </w:t>
      </w:r>
      <w:r w:rsidRPr="00693084">
        <w:rPr>
          <w:rFonts w:cs="Arial"/>
        </w:rPr>
        <w:t xml:space="preserve">leefbaarheid en veiligheid. De gebiedsregisseur werkt samen met actieve bewoners, politie, woningcorporaties, sociaal team en vele anderen aan actuele problemen. </w:t>
      </w:r>
      <w:r w:rsidR="00A05597" w:rsidRPr="00693084">
        <w:rPr>
          <w:rFonts w:cs="Arial"/>
        </w:rPr>
        <w:t>Door integraal te werken, vanuit verschillende gemeentelijke disciplines en partnerorganisaties, wordt de leefbaarheid v</w:t>
      </w:r>
      <w:r w:rsidR="00693084">
        <w:rPr>
          <w:rFonts w:cs="Arial"/>
        </w:rPr>
        <w:t>ergroot</w:t>
      </w:r>
      <w:r w:rsidR="00A05597" w:rsidRPr="00693084">
        <w:rPr>
          <w:rFonts w:cs="Arial"/>
        </w:rPr>
        <w:t>.</w:t>
      </w:r>
      <w:r w:rsidR="00A05597">
        <w:rPr>
          <w:rFonts w:cs="Arial"/>
        </w:rPr>
        <w:t xml:space="preserve"> </w:t>
      </w:r>
    </w:p>
    <w:p w14:paraId="540B9E1D" w14:textId="77777777" w:rsidR="00056AA0" w:rsidRDefault="00056AA0" w:rsidP="007653A4"/>
    <w:p w14:paraId="5CBD984C" w14:textId="052AAA94" w:rsidR="005D4AB0" w:rsidRPr="005D4AB0" w:rsidRDefault="00056AA0" w:rsidP="007653A4">
      <w:pPr>
        <w:spacing w:after="200"/>
        <w:rPr>
          <w:lang w:eastAsia="en-US"/>
        </w:rPr>
      </w:pPr>
      <w:r w:rsidRPr="00056AA0">
        <w:rPr>
          <w:b/>
          <w:lang w:eastAsia="en-US"/>
        </w:rPr>
        <w:t>Cameratoezicht</w:t>
      </w:r>
      <w:r w:rsidRPr="00056AA0">
        <w:rPr>
          <w:b/>
          <w:lang w:eastAsia="en-US"/>
        </w:rPr>
        <w:br/>
      </w:r>
      <w:r>
        <w:t xml:space="preserve">In het kader van handhaving van de openbare orde </w:t>
      </w:r>
      <w:r w:rsidR="00CE749B">
        <w:t xml:space="preserve">(art. 151c gemeentewet) </w:t>
      </w:r>
      <w:r>
        <w:t>mogen camera’s geplaatst worden in</w:t>
      </w:r>
      <w:r w:rsidR="00FD260D">
        <w:t xml:space="preserve"> de openbare ruimte. In de Notitie </w:t>
      </w:r>
      <w:r>
        <w:t xml:space="preserve">Cameratoezicht </w:t>
      </w:r>
      <w:r w:rsidR="00CA2E97">
        <w:t>(</w:t>
      </w:r>
      <w:r w:rsidR="00CE749B">
        <w:t xml:space="preserve">januari </w:t>
      </w:r>
      <w:r w:rsidR="00CA2E97">
        <w:t>201</w:t>
      </w:r>
      <w:r w:rsidR="00FD260D">
        <w:t>6</w:t>
      </w:r>
      <w:r w:rsidR="00CA2E97">
        <w:t xml:space="preserve">) </w:t>
      </w:r>
      <w:r>
        <w:t>is dit wettelijk kader uitgewerkt en zijn de principes bepaald die leidend zijn bij de inzet van cameratoezicht, zoals proportionaliteit en subsidiariteit. Dit houdt in dat cameratoezicht alleen mag worden ingezet bij ernstige</w:t>
      </w:r>
      <w:r w:rsidR="00CE749B">
        <w:t xml:space="preserve"> openbare orde</w:t>
      </w:r>
      <w:r>
        <w:t xml:space="preserve"> problemen die niet in voldoende mate met andere maatregelen en instrumenten kunnen worden tegengegaan</w:t>
      </w:r>
    </w:p>
    <w:p w14:paraId="70888CAC" w14:textId="588A37D6" w:rsidR="008D5415" w:rsidRPr="007C20E5" w:rsidRDefault="00D54E4B" w:rsidP="007653A4">
      <w:pPr>
        <w:pStyle w:val="bSubkop"/>
        <w:spacing w:line="240" w:lineRule="auto"/>
        <w:rPr>
          <w:b w:val="0"/>
          <w:sz w:val="20"/>
          <w:szCs w:val="20"/>
        </w:rPr>
      </w:pPr>
      <w:r w:rsidRPr="00893377">
        <w:rPr>
          <w:sz w:val="20"/>
          <w:szCs w:val="20"/>
        </w:rPr>
        <w:t>Jeugdoverlast</w:t>
      </w:r>
      <w:r w:rsidRPr="00893377">
        <w:rPr>
          <w:sz w:val="20"/>
          <w:szCs w:val="20"/>
        </w:rPr>
        <w:br/>
      </w:r>
      <w:r>
        <w:rPr>
          <w:b w:val="0"/>
          <w:sz w:val="20"/>
          <w:szCs w:val="20"/>
        </w:rPr>
        <w:t>De prioriteit ligt de komende jaren bij het bestrijden van jeugdcriminaliteit. De overlast van jeugdgroepen op straat is de afgelopen jaren flink teruggedrongen. Met de focus op preventie bij het jongerenwerk</w:t>
      </w:r>
      <w:r w:rsidR="00953ACE">
        <w:rPr>
          <w:b w:val="0"/>
          <w:sz w:val="20"/>
          <w:szCs w:val="20"/>
        </w:rPr>
        <w:t xml:space="preserve"> bestrijden de partners </w:t>
      </w:r>
      <w:r w:rsidR="000E551B">
        <w:rPr>
          <w:b w:val="0"/>
          <w:sz w:val="20"/>
          <w:szCs w:val="20"/>
        </w:rPr>
        <w:t xml:space="preserve">gezamenlijk </w:t>
      </w:r>
      <w:proofErr w:type="spellStart"/>
      <w:r w:rsidR="00953ACE">
        <w:rPr>
          <w:b w:val="0"/>
          <w:sz w:val="20"/>
          <w:szCs w:val="20"/>
        </w:rPr>
        <w:t>overlastgevend</w:t>
      </w:r>
      <w:proofErr w:type="spellEnd"/>
      <w:r w:rsidR="00953ACE">
        <w:rPr>
          <w:b w:val="0"/>
          <w:sz w:val="20"/>
          <w:szCs w:val="20"/>
        </w:rPr>
        <w:t xml:space="preserve"> gedrag. Er vindt inzet plaats op overlastlocaties wanneer dit nodig is</w:t>
      </w:r>
      <w:r w:rsidR="00064390">
        <w:rPr>
          <w:b w:val="0"/>
          <w:sz w:val="20"/>
          <w:szCs w:val="20"/>
        </w:rPr>
        <w:t>, onder andere door politie</w:t>
      </w:r>
      <w:r w:rsidR="00CA2E97">
        <w:rPr>
          <w:b w:val="0"/>
          <w:sz w:val="20"/>
          <w:szCs w:val="20"/>
        </w:rPr>
        <w:t xml:space="preserve"> en de </w:t>
      </w:r>
      <w:proofErr w:type="spellStart"/>
      <w:r w:rsidR="00CA2E97">
        <w:rPr>
          <w:b w:val="0"/>
          <w:sz w:val="20"/>
          <w:szCs w:val="20"/>
        </w:rPr>
        <w:t>bikers</w:t>
      </w:r>
      <w:proofErr w:type="spellEnd"/>
      <w:r w:rsidR="00CA2E97">
        <w:rPr>
          <w:b w:val="0"/>
          <w:sz w:val="20"/>
          <w:szCs w:val="20"/>
        </w:rPr>
        <w:t xml:space="preserve"> van Stadstoezicht</w:t>
      </w:r>
      <w:r w:rsidR="00953ACE">
        <w:rPr>
          <w:b w:val="0"/>
          <w:sz w:val="20"/>
          <w:szCs w:val="20"/>
        </w:rPr>
        <w:t>.</w:t>
      </w:r>
      <w:r w:rsidR="00064390">
        <w:rPr>
          <w:b w:val="0"/>
          <w:sz w:val="20"/>
          <w:szCs w:val="20"/>
        </w:rPr>
        <w:t xml:space="preserve"> Het jongerenwerk heeft hier met name een signalerende rol.</w:t>
      </w:r>
      <w:r w:rsidR="00953ACE">
        <w:rPr>
          <w:b w:val="0"/>
          <w:sz w:val="20"/>
          <w:szCs w:val="20"/>
        </w:rPr>
        <w:t xml:space="preserve"> De inzet bestaat uit een mix van contact maken, toezicht, handhaving en inzet bestuurlijke maatregelen. </w:t>
      </w:r>
      <w:r w:rsidR="001D6F5A" w:rsidRPr="007106F2">
        <w:rPr>
          <w:b w:val="0"/>
          <w:sz w:val="20"/>
          <w:szCs w:val="20"/>
        </w:rPr>
        <w:t>In het najaar 2019 zal een evaluatie van het jongerenwerk plaatsvinden.</w:t>
      </w:r>
    </w:p>
    <w:p w14:paraId="0DCC696A" w14:textId="16A00002" w:rsidR="00146CF1" w:rsidRDefault="00893377" w:rsidP="007653A4">
      <w:pPr>
        <w:spacing w:after="200"/>
        <w:rPr>
          <w:lang w:eastAsia="en-US"/>
        </w:rPr>
      </w:pPr>
      <w:r w:rsidRPr="007C20E5">
        <w:rPr>
          <w:b/>
          <w:lang w:eastAsia="en-US"/>
        </w:rPr>
        <w:t>Veilige jaarwisseling</w:t>
      </w:r>
      <w:r w:rsidRPr="007C20E5">
        <w:rPr>
          <w:b/>
          <w:lang w:eastAsia="en-US"/>
        </w:rPr>
        <w:br/>
      </w:r>
      <w:r w:rsidR="00064390" w:rsidRPr="009F4036">
        <w:rPr>
          <w:lang w:eastAsia="en-US"/>
        </w:rPr>
        <w:t xml:space="preserve">Een </w:t>
      </w:r>
      <w:r w:rsidR="00CE749B">
        <w:rPr>
          <w:lang w:eastAsia="en-US"/>
        </w:rPr>
        <w:t xml:space="preserve">multidisciplinaire </w:t>
      </w:r>
      <w:r w:rsidR="00064390" w:rsidRPr="009F4036">
        <w:rPr>
          <w:lang w:eastAsia="en-US"/>
        </w:rPr>
        <w:t>werkgroep van gemeente, brandweer, cyclus en politie neemt jaarlijks maatregelen voor een veilig verloop van de jaarwisseling. Zij breng</w:t>
      </w:r>
      <w:r w:rsidR="00E0753E">
        <w:rPr>
          <w:lang w:eastAsia="en-US"/>
        </w:rPr>
        <w:t>t</w:t>
      </w:r>
      <w:r w:rsidR="00064390" w:rsidRPr="009F4036">
        <w:rPr>
          <w:lang w:eastAsia="en-US"/>
        </w:rPr>
        <w:t xml:space="preserve"> risico</w:t>
      </w:r>
      <w:r w:rsidR="009F4036" w:rsidRPr="009F4036">
        <w:rPr>
          <w:lang w:eastAsia="en-US"/>
        </w:rPr>
        <w:t>locaties</w:t>
      </w:r>
      <w:r w:rsidR="00064390" w:rsidRPr="009F4036">
        <w:rPr>
          <w:lang w:eastAsia="en-US"/>
        </w:rPr>
        <w:t xml:space="preserve"> in kaart en </w:t>
      </w:r>
      <w:r w:rsidR="009F4036" w:rsidRPr="009F4036">
        <w:rPr>
          <w:lang w:eastAsia="en-US"/>
        </w:rPr>
        <w:t>werk</w:t>
      </w:r>
      <w:r w:rsidR="00E0753E">
        <w:rPr>
          <w:lang w:eastAsia="en-US"/>
        </w:rPr>
        <w:t>t</w:t>
      </w:r>
      <w:r w:rsidR="009F4036" w:rsidRPr="009F4036">
        <w:rPr>
          <w:lang w:eastAsia="en-US"/>
        </w:rPr>
        <w:t xml:space="preserve"> </w:t>
      </w:r>
      <w:r w:rsidR="00CE749B">
        <w:rPr>
          <w:lang w:eastAsia="en-US"/>
        </w:rPr>
        <w:t xml:space="preserve">tijdens de jaarwisseling </w:t>
      </w:r>
      <w:r w:rsidR="009F4036" w:rsidRPr="009F4036">
        <w:rPr>
          <w:lang w:eastAsia="en-US"/>
        </w:rPr>
        <w:t>intensief samen</w:t>
      </w:r>
      <w:r w:rsidR="00CE749B">
        <w:rPr>
          <w:lang w:eastAsia="en-US"/>
        </w:rPr>
        <w:t xml:space="preserve"> volgens een operationeel draaiboek</w:t>
      </w:r>
      <w:r w:rsidR="009F4036" w:rsidRPr="009F4036">
        <w:rPr>
          <w:lang w:eastAsia="en-US"/>
        </w:rPr>
        <w:t xml:space="preserve">. </w:t>
      </w:r>
      <w:r w:rsidR="009F4036">
        <w:rPr>
          <w:lang w:eastAsia="en-US"/>
        </w:rPr>
        <w:t>De mogelijkheden en behoefte in buurten en bij bewoners aan vuurwerkvrije zones wordt nader onderzocht</w:t>
      </w:r>
      <w:r w:rsidR="00D06ADA">
        <w:rPr>
          <w:lang w:eastAsia="en-US"/>
        </w:rPr>
        <w:t xml:space="preserve"> op basis van een pilot tijdens de jaarwisseling 2018/2019</w:t>
      </w:r>
      <w:r w:rsidR="009F4036">
        <w:rPr>
          <w:lang w:eastAsia="en-US"/>
        </w:rPr>
        <w:t>.</w:t>
      </w:r>
    </w:p>
    <w:p w14:paraId="4A7972EA" w14:textId="1D136B7C" w:rsidR="00146CF1" w:rsidRDefault="007970DA" w:rsidP="007653A4">
      <w:pPr>
        <w:pStyle w:val="Itemsnrsniveau1"/>
        <w:ind w:firstLine="0"/>
      </w:pPr>
      <w:bookmarkStart w:id="13" w:name="_Toc531857284"/>
      <w:r>
        <w:t>Ambities op een rij</w:t>
      </w:r>
      <w:bookmarkEnd w:id="13"/>
    </w:p>
    <w:p w14:paraId="4E88497F" w14:textId="77777777" w:rsidR="00693D6A" w:rsidRPr="00693D6A" w:rsidRDefault="00693D6A" w:rsidP="007653A4">
      <w:pPr>
        <w:pStyle w:val="Standaardingesprongen"/>
        <w:rPr>
          <w:lang w:eastAsia="en-US"/>
        </w:rPr>
      </w:pPr>
    </w:p>
    <w:p w14:paraId="49F244B5" w14:textId="590F3C3D" w:rsidR="008F0396" w:rsidRDefault="00D931E3" w:rsidP="0066599F">
      <w:pPr>
        <w:spacing w:after="200" w:line="276" w:lineRule="auto"/>
        <w:rPr>
          <w:lang w:eastAsia="en-US"/>
        </w:rPr>
      </w:pPr>
      <w:r>
        <w:rPr>
          <w:lang w:eastAsia="en-US"/>
        </w:rPr>
        <w:t>De doelen uit deze Kadernota worden in de jaarlijkse Actieplannen concreet ingevuld met meetbare indicatoren</w:t>
      </w:r>
      <w:r w:rsidR="00146CF1">
        <w:rPr>
          <w:lang w:eastAsia="en-US"/>
        </w:rPr>
        <w:t xml:space="preserve">. </w:t>
      </w:r>
    </w:p>
    <w:p w14:paraId="588C86FC" w14:textId="085D6E63" w:rsidR="00D931E3" w:rsidRDefault="00D931E3" w:rsidP="0066599F">
      <w:pPr>
        <w:pStyle w:val="Lijstalinea"/>
        <w:numPr>
          <w:ilvl w:val="0"/>
          <w:numId w:val="43"/>
        </w:numPr>
        <w:spacing w:after="200" w:line="276" w:lineRule="auto"/>
        <w:jc w:val="both"/>
        <w:rPr>
          <w:lang w:eastAsia="en-US"/>
        </w:rPr>
      </w:pPr>
      <w:r>
        <w:rPr>
          <w:lang w:eastAsia="en-US"/>
        </w:rPr>
        <w:t>Het verder terugdringen van het aantal woninginbraken</w:t>
      </w:r>
      <w:r w:rsidR="00146CF1">
        <w:rPr>
          <w:lang w:eastAsia="en-US"/>
        </w:rPr>
        <w:t>:</w:t>
      </w:r>
      <w:r w:rsidR="00227320">
        <w:rPr>
          <w:lang w:eastAsia="en-US"/>
        </w:rPr>
        <w:t xml:space="preserve"> beoogde daling van 10</w:t>
      </w:r>
      <w:r>
        <w:rPr>
          <w:lang w:eastAsia="en-US"/>
        </w:rPr>
        <w:t>% per jaar</w:t>
      </w:r>
    </w:p>
    <w:p w14:paraId="22235E1F" w14:textId="303A59A5" w:rsidR="00D931E3" w:rsidRDefault="00D931E3" w:rsidP="0066599F">
      <w:pPr>
        <w:pStyle w:val="Lijstalinea"/>
        <w:numPr>
          <w:ilvl w:val="0"/>
          <w:numId w:val="43"/>
        </w:numPr>
        <w:spacing w:after="200" w:line="276" w:lineRule="auto"/>
        <w:jc w:val="both"/>
        <w:rPr>
          <w:lang w:eastAsia="en-US"/>
        </w:rPr>
      </w:pPr>
      <w:r>
        <w:rPr>
          <w:lang w:eastAsia="en-US"/>
        </w:rPr>
        <w:t>Ontwikkelen plan van aanpak op drugshandel na uitvoeren verdiepend onderzoek</w:t>
      </w:r>
      <w:r w:rsidR="00146CF1">
        <w:rPr>
          <w:lang w:eastAsia="en-US"/>
        </w:rPr>
        <w:t xml:space="preserve"> in 2019</w:t>
      </w:r>
    </w:p>
    <w:p w14:paraId="41DE864E" w14:textId="63E5E735" w:rsidR="00D931E3" w:rsidRDefault="00D931E3" w:rsidP="0066599F">
      <w:pPr>
        <w:pStyle w:val="Lijstalinea"/>
        <w:numPr>
          <w:ilvl w:val="0"/>
          <w:numId w:val="43"/>
        </w:numPr>
        <w:spacing w:after="200" w:line="276" w:lineRule="auto"/>
        <w:jc w:val="both"/>
        <w:rPr>
          <w:lang w:eastAsia="en-US"/>
        </w:rPr>
      </w:pPr>
      <w:r>
        <w:rPr>
          <w:lang w:eastAsia="en-US"/>
        </w:rPr>
        <w:t xml:space="preserve">Voorbereid zijn op </w:t>
      </w:r>
      <w:proofErr w:type="spellStart"/>
      <w:r>
        <w:rPr>
          <w:lang w:eastAsia="en-US"/>
        </w:rPr>
        <w:t>terugkeerders</w:t>
      </w:r>
      <w:proofErr w:type="spellEnd"/>
      <w:r>
        <w:rPr>
          <w:lang w:eastAsia="en-US"/>
        </w:rPr>
        <w:t xml:space="preserve"> uit strijdgebieden</w:t>
      </w:r>
    </w:p>
    <w:p w14:paraId="4FA827E3" w14:textId="3D5CAB13" w:rsidR="000E551B" w:rsidRDefault="000E551B" w:rsidP="0066599F">
      <w:pPr>
        <w:pStyle w:val="Lijstalinea"/>
        <w:numPr>
          <w:ilvl w:val="0"/>
          <w:numId w:val="43"/>
        </w:numPr>
        <w:spacing w:after="200" w:line="276" w:lineRule="auto"/>
        <w:jc w:val="both"/>
        <w:rPr>
          <w:lang w:eastAsia="en-US"/>
        </w:rPr>
      </w:pPr>
      <w:r>
        <w:rPr>
          <w:lang w:eastAsia="en-US"/>
        </w:rPr>
        <w:t xml:space="preserve">Monitoren </w:t>
      </w:r>
      <w:r w:rsidR="00A8644C">
        <w:rPr>
          <w:lang w:eastAsia="en-US"/>
        </w:rPr>
        <w:t xml:space="preserve">extremistische </w:t>
      </w:r>
      <w:r>
        <w:rPr>
          <w:lang w:eastAsia="en-US"/>
        </w:rPr>
        <w:t>netwerk</w:t>
      </w:r>
      <w:r w:rsidR="00A8644C">
        <w:rPr>
          <w:lang w:eastAsia="en-US"/>
        </w:rPr>
        <w:t>en</w:t>
      </w:r>
      <w:r>
        <w:rPr>
          <w:lang w:eastAsia="en-US"/>
        </w:rPr>
        <w:t xml:space="preserve"> middels persoonsgerichte aanpak</w:t>
      </w:r>
    </w:p>
    <w:p w14:paraId="10D33D46" w14:textId="60C6D941" w:rsidR="00D931E3" w:rsidRDefault="00D931E3" w:rsidP="0066599F">
      <w:pPr>
        <w:pStyle w:val="Lijstalinea"/>
        <w:numPr>
          <w:ilvl w:val="0"/>
          <w:numId w:val="43"/>
        </w:numPr>
        <w:spacing w:after="200" w:line="276" w:lineRule="auto"/>
        <w:jc w:val="both"/>
        <w:rPr>
          <w:lang w:eastAsia="en-US"/>
        </w:rPr>
      </w:pPr>
      <w:r>
        <w:rPr>
          <w:lang w:eastAsia="en-US"/>
        </w:rPr>
        <w:t>Tegengaan van polarisatie tussen diverse bevolkin</w:t>
      </w:r>
      <w:r w:rsidR="00146CF1">
        <w:rPr>
          <w:lang w:eastAsia="en-US"/>
        </w:rPr>
        <w:t xml:space="preserve">gsgroepen en individuen </w:t>
      </w:r>
    </w:p>
    <w:p w14:paraId="12E25F3A" w14:textId="14D69A5C" w:rsidR="00D931E3" w:rsidRDefault="00D931E3" w:rsidP="0066599F">
      <w:pPr>
        <w:pStyle w:val="Lijstalinea"/>
        <w:numPr>
          <w:ilvl w:val="0"/>
          <w:numId w:val="43"/>
        </w:numPr>
        <w:spacing w:after="200" w:line="276" w:lineRule="auto"/>
        <w:jc w:val="both"/>
        <w:rPr>
          <w:lang w:eastAsia="en-US"/>
        </w:rPr>
      </w:pPr>
      <w:r>
        <w:rPr>
          <w:lang w:eastAsia="en-US"/>
        </w:rPr>
        <w:t>Preventieve inzet op risicojon</w:t>
      </w:r>
      <w:r w:rsidR="00693D6A">
        <w:rPr>
          <w:lang w:eastAsia="en-US"/>
        </w:rPr>
        <w:t xml:space="preserve">geren </w:t>
      </w:r>
      <w:r w:rsidR="00146CF1">
        <w:rPr>
          <w:lang w:eastAsia="en-US"/>
        </w:rPr>
        <w:t>door inzet PIT</w:t>
      </w:r>
    </w:p>
    <w:p w14:paraId="116C01C6" w14:textId="368D19BA" w:rsidR="00D931E3" w:rsidRDefault="00D931E3" w:rsidP="0066599F">
      <w:pPr>
        <w:pStyle w:val="Lijstalinea"/>
        <w:numPr>
          <w:ilvl w:val="0"/>
          <w:numId w:val="43"/>
        </w:numPr>
        <w:spacing w:after="200" w:line="276" w:lineRule="auto"/>
        <w:jc w:val="both"/>
        <w:rPr>
          <w:lang w:eastAsia="en-US"/>
        </w:rPr>
      </w:pPr>
      <w:r>
        <w:rPr>
          <w:lang w:eastAsia="en-US"/>
        </w:rPr>
        <w:t>Veiligheidsdomein</w:t>
      </w:r>
      <w:r w:rsidR="00693D6A">
        <w:rPr>
          <w:lang w:eastAsia="en-US"/>
        </w:rPr>
        <w:t xml:space="preserve"> en zorgdomein werken</w:t>
      </w:r>
      <w:r w:rsidR="00CB69A4">
        <w:rPr>
          <w:lang w:eastAsia="en-US"/>
        </w:rPr>
        <w:t xml:space="preserve"> voor nodig</w:t>
      </w:r>
      <w:r w:rsidR="00693D6A">
        <w:rPr>
          <w:lang w:eastAsia="en-US"/>
        </w:rPr>
        <w:t xml:space="preserve"> volgens</w:t>
      </w:r>
      <w:r>
        <w:rPr>
          <w:lang w:eastAsia="en-US"/>
        </w:rPr>
        <w:t xml:space="preserve"> 1g1p1r</w:t>
      </w:r>
    </w:p>
    <w:p w14:paraId="5DA817DF" w14:textId="4A239E2E" w:rsidR="00D931E3" w:rsidRDefault="00693D6A" w:rsidP="0066599F">
      <w:pPr>
        <w:pStyle w:val="Lijstalinea"/>
        <w:numPr>
          <w:ilvl w:val="0"/>
          <w:numId w:val="43"/>
        </w:numPr>
        <w:spacing w:after="200" w:line="276" w:lineRule="auto"/>
        <w:jc w:val="both"/>
        <w:rPr>
          <w:lang w:eastAsia="en-US"/>
        </w:rPr>
      </w:pPr>
      <w:r>
        <w:rPr>
          <w:lang w:eastAsia="en-US"/>
        </w:rPr>
        <w:t>I</w:t>
      </w:r>
      <w:r w:rsidR="00D931E3">
        <w:rPr>
          <w:lang w:eastAsia="en-US"/>
        </w:rPr>
        <w:t xml:space="preserve">nformatiedeling over signaleren risicogedrag jeugd </w:t>
      </w:r>
      <w:r>
        <w:rPr>
          <w:lang w:eastAsia="en-US"/>
        </w:rPr>
        <w:t xml:space="preserve">is </w:t>
      </w:r>
      <w:r w:rsidR="00D931E3">
        <w:rPr>
          <w:lang w:eastAsia="en-US"/>
        </w:rPr>
        <w:t>op orde</w:t>
      </w:r>
    </w:p>
    <w:p w14:paraId="14A8AC4B" w14:textId="2A875F30" w:rsidR="00D931E3" w:rsidRDefault="00D931E3" w:rsidP="0066599F">
      <w:pPr>
        <w:pStyle w:val="Lijstalinea"/>
        <w:numPr>
          <w:ilvl w:val="0"/>
          <w:numId w:val="43"/>
        </w:numPr>
        <w:spacing w:after="200" w:line="276" w:lineRule="auto"/>
        <w:jc w:val="both"/>
        <w:rPr>
          <w:lang w:eastAsia="en-US"/>
        </w:rPr>
      </w:pPr>
      <w:r>
        <w:rPr>
          <w:lang w:eastAsia="en-US"/>
        </w:rPr>
        <w:t>Meer barrières opwerpen ter voorkoming van ondermijning</w:t>
      </w:r>
      <w:r w:rsidR="001048F0">
        <w:rPr>
          <w:lang w:eastAsia="en-US"/>
        </w:rPr>
        <w:t xml:space="preserve"> door </w:t>
      </w:r>
      <w:r w:rsidR="001048F0">
        <w:t xml:space="preserve">aanpak van knooppunten en inzet </w:t>
      </w:r>
      <w:proofErr w:type="spellStart"/>
      <w:r w:rsidR="001048F0">
        <w:t>Bibob</w:t>
      </w:r>
      <w:proofErr w:type="spellEnd"/>
    </w:p>
    <w:p w14:paraId="25E66A67" w14:textId="4EF26387" w:rsidR="00D931E3" w:rsidRDefault="00D931E3" w:rsidP="0066599F">
      <w:pPr>
        <w:pStyle w:val="Lijstalinea"/>
        <w:numPr>
          <w:ilvl w:val="0"/>
          <w:numId w:val="43"/>
        </w:numPr>
        <w:spacing w:after="200" w:line="276" w:lineRule="auto"/>
        <w:jc w:val="both"/>
        <w:rPr>
          <w:lang w:eastAsia="en-US"/>
        </w:rPr>
      </w:pPr>
      <w:r>
        <w:rPr>
          <w:lang w:eastAsia="en-US"/>
        </w:rPr>
        <w:t>Het schakelteam duidt op effectieve wijze de binnenkomende signalen</w:t>
      </w:r>
    </w:p>
    <w:p w14:paraId="138CAAE4" w14:textId="61DFE75B" w:rsidR="00D931E3" w:rsidRDefault="00D931E3" w:rsidP="0066599F">
      <w:pPr>
        <w:pStyle w:val="Lijstalinea"/>
        <w:numPr>
          <w:ilvl w:val="0"/>
          <w:numId w:val="43"/>
        </w:numPr>
        <w:spacing w:after="200" w:line="276" w:lineRule="auto"/>
        <w:jc w:val="both"/>
        <w:rPr>
          <w:lang w:eastAsia="en-US"/>
        </w:rPr>
      </w:pPr>
      <w:r>
        <w:rPr>
          <w:lang w:eastAsia="en-US"/>
        </w:rPr>
        <w:t xml:space="preserve">Het beperken van instroom en het bevorderen van uitstroom van leden </w:t>
      </w:r>
      <w:r w:rsidR="00D06ADA">
        <w:rPr>
          <w:lang w:eastAsia="en-US"/>
        </w:rPr>
        <w:t>van</w:t>
      </w:r>
      <w:r>
        <w:rPr>
          <w:lang w:eastAsia="en-US"/>
        </w:rPr>
        <w:t xml:space="preserve"> criminele netwerken</w:t>
      </w:r>
      <w:r w:rsidR="001D605E">
        <w:rPr>
          <w:lang w:eastAsia="en-US"/>
        </w:rPr>
        <w:t xml:space="preserve"> </w:t>
      </w:r>
    </w:p>
    <w:p w14:paraId="538A3394" w14:textId="1C759255" w:rsidR="00383B74" w:rsidRDefault="00D931E3" w:rsidP="0066599F">
      <w:pPr>
        <w:pStyle w:val="Lijstalinea"/>
        <w:numPr>
          <w:ilvl w:val="0"/>
          <w:numId w:val="43"/>
        </w:numPr>
        <w:spacing w:after="200" w:line="276" w:lineRule="auto"/>
        <w:jc w:val="both"/>
        <w:rPr>
          <w:lang w:eastAsia="en-US"/>
        </w:rPr>
      </w:pPr>
      <w:r>
        <w:rPr>
          <w:lang w:eastAsia="en-US"/>
        </w:rPr>
        <w:t>Weerbaarheid van bestuur en organisatie tegen ondermijning versterken</w:t>
      </w:r>
      <w:r w:rsidR="00693D6A">
        <w:rPr>
          <w:lang w:eastAsia="en-US"/>
        </w:rPr>
        <w:t xml:space="preserve"> door </w:t>
      </w:r>
      <w:r w:rsidR="00D06ADA">
        <w:rPr>
          <w:lang w:eastAsia="en-US"/>
        </w:rPr>
        <w:t xml:space="preserve">o.a. </w:t>
      </w:r>
      <w:r w:rsidR="00693D6A">
        <w:rPr>
          <w:lang w:eastAsia="en-US"/>
        </w:rPr>
        <w:t>training</w:t>
      </w:r>
    </w:p>
    <w:p w14:paraId="28BBA1C8" w14:textId="2DA1072C" w:rsidR="00383B74" w:rsidRDefault="00CB69A4" w:rsidP="0066599F">
      <w:pPr>
        <w:pStyle w:val="Lijstalinea"/>
        <w:numPr>
          <w:ilvl w:val="0"/>
          <w:numId w:val="43"/>
        </w:numPr>
        <w:spacing w:after="200" w:line="276" w:lineRule="auto"/>
        <w:jc w:val="both"/>
        <w:rPr>
          <w:lang w:eastAsia="en-US"/>
        </w:rPr>
      </w:pPr>
      <w:r>
        <w:rPr>
          <w:lang w:eastAsia="en-US"/>
        </w:rPr>
        <w:t>Er is een door alle ketenpar</w:t>
      </w:r>
      <w:r w:rsidR="00383B74">
        <w:rPr>
          <w:lang w:eastAsia="en-US"/>
        </w:rPr>
        <w:t>t</w:t>
      </w:r>
      <w:r>
        <w:rPr>
          <w:lang w:eastAsia="en-US"/>
        </w:rPr>
        <w:t>n</w:t>
      </w:r>
      <w:r w:rsidR="00383B74">
        <w:rPr>
          <w:lang w:eastAsia="en-US"/>
        </w:rPr>
        <w:t xml:space="preserve">ers afgestemde aanpak bij alle voorkomende extreme woonoverlast-situaties </w:t>
      </w:r>
    </w:p>
    <w:p w14:paraId="413A3BB7" w14:textId="1296E758" w:rsidR="00383B74" w:rsidRDefault="00383B74" w:rsidP="0066599F">
      <w:pPr>
        <w:pStyle w:val="Lijstalinea"/>
        <w:numPr>
          <w:ilvl w:val="0"/>
          <w:numId w:val="43"/>
        </w:numPr>
        <w:spacing w:after="200" w:line="276" w:lineRule="auto"/>
        <w:jc w:val="both"/>
        <w:rPr>
          <w:lang w:eastAsia="en-US"/>
        </w:rPr>
      </w:pPr>
      <w:r>
        <w:rPr>
          <w:lang w:eastAsia="en-US"/>
        </w:rPr>
        <w:t>Het verminderen van recidive van overlastgevers door het bieden van de juiste zorg en begeleiding</w:t>
      </w:r>
    </w:p>
    <w:p w14:paraId="7BA49EB9" w14:textId="6E9608F4" w:rsidR="00B632FC" w:rsidRDefault="00383B74" w:rsidP="0066599F">
      <w:pPr>
        <w:pStyle w:val="Lijstalinea"/>
        <w:numPr>
          <w:ilvl w:val="0"/>
          <w:numId w:val="43"/>
        </w:numPr>
        <w:spacing w:after="200" w:line="276" w:lineRule="auto"/>
        <w:jc w:val="both"/>
        <w:rPr>
          <w:lang w:eastAsia="en-US"/>
        </w:rPr>
      </w:pPr>
      <w:r>
        <w:rPr>
          <w:lang w:eastAsia="en-US"/>
        </w:rPr>
        <w:t>De gemeente benut de maatregelen ter handhaving van de openbare orde en de APV</w:t>
      </w:r>
    </w:p>
    <w:p w14:paraId="7DD3E96B" w14:textId="7990BCAE" w:rsidR="00E64472" w:rsidRPr="002036F8" w:rsidRDefault="00E64472" w:rsidP="007653A4">
      <w:pPr>
        <w:pStyle w:val="Itemsnrsniveau1"/>
        <w:ind w:firstLine="0"/>
      </w:pPr>
      <w:bookmarkStart w:id="14" w:name="_Toc531857285"/>
      <w:r w:rsidRPr="002036F8">
        <w:t>Financiële paragraaf</w:t>
      </w:r>
      <w:bookmarkEnd w:id="14"/>
    </w:p>
    <w:p w14:paraId="725F21ED" w14:textId="77777777" w:rsidR="00E64472" w:rsidRDefault="00E64472" w:rsidP="007653A4">
      <w:pPr>
        <w:pStyle w:val="Standaardingesprongen"/>
        <w:rPr>
          <w:lang w:eastAsia="en-US"/>
        </w:rPr>
      </w:pPr>
    </w:p>
    <w:p w14:paraId="46A5765C" w14:textId="77777777" w:rsidR="00E64472" w:rsidRDefault="00E64472" w:rsidP="007653A4">
      <w:pPr>
        <w:pStyle w:val="Standaardingesprongen"/>
        <w:rPr>
          <w:lang w:eastAsia="en-US"/>
        </w:rPr>
      </w:pPr>
    </w:p>
    <w:tbl>
      <w:tblPr>
        <w:tblW w:w="4900" w:type="pct"/>
        <w:tblCellMar>
          <w:left w:w="0" w:type="dxa"/>
          <w:right w:w="0" w:type="dxa"/>
        </w:tblCellMar>
        <w:tblLook w:val="04A0" w:firstRow="1" w:lastRow="0" w:firstColumn="1" w:lastColumn="0" w:noHBand="0" w:noVBand="1"/>
      </w:tblPr>
      <w:tblGrid>
        <w:gridCol w:w="4812"/>
        <w:gridCol w:w="1110"/>
        <w:gridCol w:w="1111"/>
        <w:gridCol w:w="1111"/>
        <w:gridCol w:w="1111"/>
      </w:tblGrid>
      <w:tr w:rsidR="00227320" w:rsidRPr="00227320" w14:paraId="23897D2E" w14:textId="77777777" w:rsidTr="00227320">
        <w:trPr>
          <w:tblHeader/>
        </w:trPr>
        <w:tc>
          <w:tcPr>
            <w:tcW w:w="2600" w:type="pct"/>
            <w:tcMar>
              <w:top w:w="45" w:type="dxa"/>
              <w:left w:w="45" w:type="dxa"/>
              <w:bottom w:w="45" w:type="dxa"/>
              <w:right w:w="45" w:type="dxa"/>
            </w:tcMar>
            <w:hideMark/>
          </w:tcPr>
          <w:p w14:paraId="35CBE19B" w14:textId="77777777" w:rsidR="00227320" w:rsidRPr="00227320" w:rsidRDefault="00227320" w:rsidP="007653A4">
            <w:pPr>
              <w:spacing w:after="240"/>
              <w:rPr>
                <w:rFonts w:cs="Arial"/>
                <w:b/>
                <w:bCs/>
                <w:color w:val="000000"/>
              </w:rPr>
            </w:pPr>
            <w:r w:rsidRPr="00227320">
              <w:rPr>
                <w:rFonts w:cs="Arial"/>
                <w:b/>
                <w:bCs/>
                <w:color w:val="000000"/>
              </w:rPr>
              <w:t xml:space="preserve">Taakveld (bedragen x € 1.000) </w:t>
            </w:r>
          </w:p>
        </w:tc>
        <w:tc>
          <w:tcPr>
            <w:tcW w:w="600" w:type="pct"/>
            <w:tcMar>
              <w:top w:w="45" w:type="dxa"/>
              <w:left w:w="45" w:type="dxa"/>
              <w:bottom w:w="45" w:type="dxa"/>
              <w:right w:w="45" w:type="dxa"/>
            </w:tcMar>
            <w:hideMark/>
          </w:tcPr>
          <w:p w14:paraId="699AC070" w14:textId="77777777" w:rsidR="00227320" w:rsidRPr="00227320" w:rsidRDefault="00227320" w:rsidP="007653A4">
            <w:pPr>
              <w:spacing w:after="240"/>
              <w:jc w:val="center"/>
              <w:rPr>
                <w:rFonts w:cs="Arial"/>
                <w:b/>
                <w:bCs/>
                <w:color w:val="000000"/>
              </w:rPr>
            </w:pPr>
            <w:r w:rsidRPr="00227320">
              <w:rPr>
                <w:rFonts w:cs="Arial"/>
                <w:b/>
                <w:bCs/>
                <w:color w:val="000000"/>
              </w:rPr>
              <w:t xml:space="preserve">2019 </w:t>
            </w:r>
          </w:p>
        </w:tc>
        <w:tc>
          <w:tcPr>
            <w:tcW w:w="600" w:type="pct"/>
            <w:tcMar>
              <w:top w:w="45" w:type="dxa"/>
              <w:left w:w="45" w:type="dxa"/>
              <w:bottom w:w="45" w:type="dxa"/>
              <w:right w:w="45" w:type="dxa"/>
            </w:tcMar>
            <w:hideMark/>
          </w:tcPr>
          <w:p w14:paraId="70D56D50" w14:textId="77777777" w:rsidR="00227320" w:rsidRPr="00227320" w:rsidRDefault="00227320" w:rsidP="007653A4">
            <w:pPr>
              <w:spacing w:after="240"/>
              <w:jc w:val="center"/>
              <w:rPr>
                <w:rFonts w:cs="Arial"/>
                <w:b/>
                <w:bCs/>
                <w:color w:val="000000"/>
              </w:rPr>
            </w:pPr>
            <w:r w:rsidRPr="00227320">
              <w:rPr>
                <w:rFonts w:cs="Arial"/>
                <w:b/>
                <w:bCs/>
                <w:color w:val="000000"/>
              </w:rPr>
              <w:t xml:space="preserve">2020 </w:t>
            </w:r>
          </w:p>
        </w:tc>
        <w:tc>
          <w:tcPr>
            <w:tcW w:w="600" w:type="pct"/>
            <w:tcMar>
              <w:top w:w="45" w:type="dxa"/>
              <w:left w:w="45" w:type="dxa"/>
              <w:bottom w:w="45" w:type="dxa"/>
              <w:right w:w="45" w:type="dxa"/>
            </w:tcMar>
            <w:hideMark/>
          </w:tcPr>
          <w:p w14:paraId="46CF9418" w14:textId="77777777" w:rsidR="00227320" w:rsidRPr="00227320" w:rsidRDefault="00227320" w:rsidP="007653A4">
            <w:pPr>
              <w:spacing w:after="240"/>
              <w:jc w:val="center"/>
              <w:rPr>
                <w:rFonts w:cs="Arial"/>
                <w:b/>
                <w:bCs/>
                <w:color w:val="000000"/>
              </w:rPr>
            </w:pPr>
            <w:r w:rsidRPr="00227320">
              <w:rPr>
                <w:rFonts w:cs="Arial"/>
                <w:b/>
                <w:bCs/>
                <w:color w:val="000000"/>
              </w:rPr>
              <w:t xml:space="preserve">2021 </w:t>
            </w:r>
          </w:p>
        </w:tc>
        <w:tc>
          <w:tcPr>
            <w:tcW w:w="600" w:type="pct"/>
            <w:tcMar>
              <w:top w:w="45" w:type="dxa"/>
              <w:left w:w="45" w:type="dxa"/>
              <w:bottom w:w="45" w:type="dxa"/>
              <w:right w:w="45" w:type="dxa"/>
            </w:tcMar>
            <w:hideMark/>
          </w:tcPr>
          <w:p w14:paraId="24712447" w14:textId="77777777" w:rsidR="00227320" w:rsidRPr="00227320" w:rsidRDefault="00227320" w:rsidP="007653A4">
            <w:pPr>
              <w:spacing w:after="240"/>
              <w:jc w:val="center"/>
              <w:rPr>
                <w:rFonts w:cs="Arial"/>
                <w:b/>
                <w:bCs/>
                <w:color w:val="000000"/>
              </w:rPr>
            </w:pPr>
            <w:r w:rsidRPr="00227320">
              <w:rPr>
                <w:rFonts w:cs="Arial"/>
                <w:b/>
                <w:bCs/>
                <w:color w:val="000000"/>
              </w:rPr>
              <w:t xml:space="preserve">2022 </w:t>
            </w:r>
          </w:p>
        </w:tc>
      </w:tr>
      <w:tr w:rsidR="00227320" w:rsidRPr="00227320" w14:paraId="6A9EF6E6" w14:textId="77777777" w:rsidTr="00227320">
        <w:tc>
          <w:tcPr>
            <w:tcW w:w="0" w:type="auto"/>
            <w:tcMar>
              <w:top w:w="45" w:type="dxa"/>
              <w:left w:w="45" w:type="dxa"/>
              <w:bottom w:w="45" w:type="dxa"/>
              <w:right w:w="45" w:type="dxa"/>
            </w:tcMar>
            <w:hideMark/>
          </w:tcPr>
          <w:p w14:paraId="6C9408D4" w14:textId="77777777" w:rsidR="00227320" w:rsidRPr="00227320" w:rsidRDefault="00227320" w:rsidP="007653A4">
            <w:pPr>
              <w:spacing w:after="240"/>
              <w:rPr>
                <w:rFonts w:cs="Arial"/>
                <w:color w:val="000000"/>
                <w:sz w:val="18"/>
                <w:szCs w:val="18"/>
              </w:rPr>
            </w:pPr>
            <w:r w:rsidRPr="00227320">
              <w:rPr>
                <w:rFonts w:cs="Arial"/>
                <w:color w:val="000000"/>
                <w:sz w:val="18"/>
                <w:szCs w:val="18"/>
              </w:rPr>
              <w:t xml:space="preserve">1.1 Crisisbeheersing en brandweer </w:t>
            </w:r>
          </w:p>
        </w:tc>
        <w:tc>
          <w:tcPr>
            <w:tcW w:w="0" w:type="auto"/>
            <w:tcMar>
              <w:top w:w="45" w:type="dxa"/>
              <w:left w:w="45" w:type="dxa"/>
              <w:bottom w:w="45" w:type="dxa"/>
              <w:right w:w="45" w:type="dxa"/>
            </w:tcMar>
            <w:hideMark/>
          </w:tcPr>
          <w:p w14:paraId="062392EC"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4.591 </w:t>
            </w:r>
          </w:p>
        </w:tc>
        <w:tc>
          <w:tcPr>
            <w:tcW w:w="0" w:type="auto"/>
            <w:tcMar>
              <w:top w:w="45" w:type="dxa"/>
              <w:left w:w="45" w:type="dxa"/>
              <w:bottom w:w="45" w:type="dxa"/>
              <w:right w:w="45" w:type="dxa"/>
            </w:tcMar>
            <w:hideMark/>
          </w:tcPr>
          <w:p w14:paraId="1DC81C69"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4.588 </w:t>
            </w:r>
          </w:p>
        </w:tc>
        <w:tc>
          <w:tcPr>
            <w:tcW w:w="0" w:type="auto"/>
            <w:tcMar>
              <w:top w:w="45" w:type="dxa"/>
              <w:left w:w="45" w:type="dxa"/>
              <w:bottom w:w="45" w:type="dxa"/>
              <w:right w:w="45" w:type="dxa"/>
            </w:tcMar>
            <w:hideMark/>
          </w:tcPr>
          <w:p w14:paraId="20F6B639"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4.623 </w:t>
            </w:r>
          </w:p>
        </w:tc>
        <w:tc>
          <w:tcPr>
            <w:tcW w:w="0" w:type="auto"/>
            <w:tcMar>
              <w:top w:w="45" w:type="dxa"/>
              <w:left w:w="45" w:type="dxa"/>
              <w:bottom w:w="45" w:type="dxa"/>
              <w:right w:w="45" w:type="dxa"/>
            </w:tcMar>
            <w:hideMark/>
          </w:tcPr>
          <w:p w14:paraId="33B96686"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4.624 </w:t>
            </w:r>
          </w:p>
        </w:tc>
      </w:tr>
      <w:tr w:rsidR="00227320" w:rsidRPr="00227320" w14:paraId="67231621" w14:textId="77777777" w:rsidTr="00227320">
        <w:tc>
          <w:tcPr>
            <w:tcW w:w="0" w:type="auto"/>
            <w:tcMar>
              <w:top w:w="45" w:type="dxa"/>
              <w:left w:w="45" w:type="dxa"/>
              <w:bottom w:w="45" w:type="dxa"/>
              <w:right w:w="45" w:type="dxa"/>
            </w:tcMar>
            <w:hideMark/>
          </w:tcPr>
          <w:p w14:paraId="6F72B5AF" w14:textId="77777777" w:rsidR="00227320" w:rsidRPr="00227320" w:rsidRDefault="00227320" w:rsidP="007653A4">
            <w:pPr>
              <w:spacing w:after="240"/>
              <w:rPr>
                <w:rFonts w:cs="Arial"/>
                <w:color w:val="000000"/>
                <w:sz w:val="18"/>
                <w:szCs w:val="18"/>
              </w:rPr>
            </w:pPr>
            <w:r w:rsidRPr="00227320">
              <w:rPr>
                <w:rFonts w:cs="Arial"/>
                <w:color w:val="000000"/>
                <w:sz w:val="18"/>
                <w:szCs w:val="18"/>
              </w:rPr>
              <w:t xml:space="preserve">1.2 Openbare orde en veiligheid </w:t>
            </w:r>
          </w:p>
        </w:tc>
        <w:tc>
          <w:tcPr>
            <w:tcW w:w="0" w:type="auto"/>
            <w:tcMar>
              <w:top w:w="45" w:type="dxa"/>
              <w:left w:w="45" w:type="dxa"/>
              <w:bottom w:w="45" w:type="dxa"/>
              <w:right w:w="45" w:type="dxa"/>
            </w:tcMar>
            <w:hideMark/>
          </w:tcPr>
          <w:p w14:paraId="1EB0FC81"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4.205 </w:t>
            </w:r>
          </w:p>
        </w:tc>
        <w:tc>
          <w:tcPr>
            <w:tcW w:w="0" w:type="auto"/>
            <w:tcMar>
              <w:top w:w="45" w:type="dxa"/>
              <w:left w:w="45" w:type="dxa"/>
              <w:bottom w:w="45" w:type="dxa"/>
              <w:right w:w="45" w:type="dxa"/>
            </w:tcMar>
            <w:hideMark/>
          </w:tcPr>
          <w:p w14:paraId="06D39325"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4.017 </w:t>
            </w:r>
          </w:p>
        </w:tc>
        <w:tc>
          <w:tcPr>
            <w:tcW w:w="0" w:type="auto"/>
            <w:tcMar>
              <w:top w:w="45" w:type="dxa"/>
              <w:left w:w="45" w:type="dxa"/>
              <w:bottom w:w="45" w:type="dxa"/>
              <w:right w:w="45" w:type="dxa"/>
            </w:tcMar>
            <w:hideMark/>
          </w:tcPr>
          <w:p w14:paraId="7DC0A158"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3.965 </w:t>
            </w:r>
          </w:p>
        </w:tc>
        <w:tc>
          <w:tcPr>
            <w:tcW w:w="0" w:type="auto"/>
            <w:tcMar>
              <w:top w:w="45" w:type="dxa"/>
              <w:left w:w="45" w:type="dxa"/>
              <w:bottom w:w="45" w:type="dxa"/>
              <w:right w:w="45" w:type="dxa"/>
            </w:tcMar>
            <w:hideMark/>
          </w:tcPr>
          <w:p w14:paraId="61FAA1EE" w14:textId="77777777" w:rsidR="00227320" w:rsidRPr="00227320" w:rsidRDefault="00227320" w:rsidP="007653A4">
            <w:pPr>
              <w:spacing w:after="240"/>
              <w:jc w:val="right"/>
              <w:rPr>
                <w:rFonts w:cs="Arial"/>
                <w:color w:val="000000"/>
                <w:sz w:val="18"/>
                <w:szCs w:val="18"/>
              </w:rPr>
            </w:pPr>
            <w:r w:rsidRPr="00227320">
              <w:rPr>
                <w:rFonts w:cs="Arial"/>
                <w:color w:val="000000"/>
                <w:sz w:val="18"/>
                <w:szCs w:val="18"/>
              </w:rPr>
              <w:t xml:space="preserve">3.948 </w:t>
            </w:r>
          </w:p>
        </w:tc>
      </w:tr>
      <w:tr w:rsidR="00227320" w:rsidRPr="00227320" w14:paraId="60D94393" w14:textId="77777777" w:rsidTr="00227320">
        <w:tc>
          <w:tcPr>
            <w:tcW w:w="0" w:type="auto"/>
            <w:tcMar>
              <w:top w:w="45" w:type="dxa"/>
              <w:left w:w="45" w:type="dxa"/>
              <w:bottom w:w="45" w:type="dxa"/>
              <w:right w:w="45" w:type="dxa"/>
            </w:tcMar>
            <w:hideMark/>
          </w:tcPr>
          <w:p w14:paraId="4814D4B1" w14:textId="77777777" w:rsidR="00227320" w:rsidRPr="00227320" w:rsidRDefault="00227320" w:rsidP="007653A4">
            <w:pPr>
              <w:spacing w:after="240"/>
              <w:rPr>
                <w:rFonts w:cs="Arial"/>
                <w:color w:val="000000"/>
                <w:sz w:val="18"/>
                <w:szCs w:val="18"/>
              </w:rPr>
            </w:pPr>
            <w:r w:rsidRPr="00227320">
              <w:rPr>
                <w:rFonts w:cs="Arial"/>
                <w:b/>
                <w:bCs/>
                <w:color w:val="000000"/>
                <w:sz w:val="18"/>
                <w:szCs w:val="18"/>
              </w:rPr>
              <w:t>Totaal</w:t>
            </w:r>
            <w:r w:rsidRPr="00227320">
              <w:rPr>
                <w:rFonts w:cs="Arial"/>
                <w:color w:val="000000"/>
                <w:sz w:val="18"/>
                <w:szCs w:val="18"/>
              </w:rPr>
              <w:t xml:space="preserve"> </w:t>
            </w:r>
          </w:p>
        </w:tc>
        <w:tc>
          <w:tcPr>
            <w:tcW w:w="0" w:type="auto"/>
            <w:tcMar>
              <w:top w:w="45" w:type="dxa"/>
              <w:left w:w="45" w:type="dxa"/>
              <w:bottom w:w="45" w:type="dxa"/>
              <w:right w:w="45" w:type="dxa"/>
            </w:tcMar>
            <w:hideMark/>
          </w:tcPr>
          <w:p w14:paraId="623068EF" w14:textId="77777777" w:rsidR="00227320" w:rsidRPr="00227320" w:rsidRDefault="00227320" w:rsidP="007653A4">
            <w:pPr>
              <w:spacing w:after="240"/>
              <w:jc w:val="right"/>
              <w:rPr>
                <w:rFonts w:cs="Arial"/>
                <w:color w:val="000000"/>
                <w:sz w:val="18"/>
                <w:szCs w:val="18"/>
              </w:rPr>
            </w:pPr>
            <w:r w:rsidRPr="00227320">
              <w:rPr>
                <w:rFonts w:cs="Arial"/>
                <w:b/>
                <w:bCs/>
                <w:color w:val="000000"/>
                <w:sz w:val="18"/>
                <w:szCs w:val="18"/>
              </w:rPr>
              <w:t>8.796</w:t>
            </w:r>
            <w:r w:rsidRPr="00227320">
              <w:rPr>
                <w:rFonts w:cs="Arial"/>
                <w:color w:val="000000"/>
                <w:sz w:val="18"/>
                <w:szCs w:val="18"/>
              </w:rPr>
              <w:t xml:space="preserve"> </w:t>
            </w:r>
          </w:p>
        </w:tc>
        <w:tc>
          <w:tcPr>
            <w:tcW w:w="0" w:type="auto"/>
            <w:tcMar>
              <w:top w:w="45" w:type="dxa"/>
              <w:left w:w="45" w:type="dxa"/>
              <w:bottom w:w="45" w:type="dxa"/>
              <w:right w:w="45" w:type="dxa"/>
            </w:tcMar>
            <w:hideMark/>
          </w:tcPr>
          <w:p w14:paraId="76368278" w14:textId="77777777" w:rsidR="00227320" w:rsidRPr="00227320" w:rsidRDefault="00227320" w:rsidP="007653A4">
            <w:pPr>
              <w:spacing w:after="240"/>
              <w:jc w:val="right"/>
              <w:rPr>
                <w:rFonts w:cs="Arial"/>
                <w:color w:val="000000"/>
                <w:sz w:val="18"/>
                <w:szCs w:val="18"/>
              </w:rPr>
            </w:pPr>
            <w:r w:rsidRPr="00227320">
              <w:rPr>
                <w:rFonts w:cs="Arial"/>
                <w:b/>
                <w:bCs/>
                <w:color w:val="000000"/>
                <w:sz w:val="18"/>
                <w:szCs w:val="18"/>
              </w:rPr>
              <w:t>8.605</w:t>
            </w:r>
            <w:r w:rsidRPr="00227320">
              <w:rPr>
                <w:rFonts w:cs="Arial"/>
                <w:color w:val="000000"/>
                <w:sz w:val="18"/>
                <w:szCs w:val="18"/>
              </w:rPr>
              <w:t xml:space="preserve"> </w:t>
            </w:r>
          </w:p>
        </w:tc>
        <w:tc>
          <w:tcPr>
            <w:tcW w:w="0" w:type="auto"/>
            <w:tcMar>
              <w:top w:w="45" w:type="dxa"/>
              <w:left w:w="45" w:type="dxa"/>
              <w:bottom w:w="45" w:type="dxa"/>
              <w:right w:w="45" w:type="dxa"/>
            </w:tcMar>
            <w:hideMark/>
          </w:tcPr>
          <w:p w14:paraId="24383A25" w14:textId="77777777" w:rsidR="00227320" w:rsidRPr="00227320" w:rsidRDefault="00227320" w:rsidP="007653A4">
            <w:pPr>
              <w:spacing w:after="240"/>
              <w:jc w:val="right"/>
              <w:rPr>
                <w:rFonts w:cs="Arial"/>
                <w:color w:val="000000"/>
                <w:sz w:val="18"/>
                <w:szCs w:val="18"/>
              </w:rPr>
            </w:pPr>
            <w:r w:rsidRPr="00227320">
              <w:rPr>
                <w:rFonts w:cs="Arial"/>
                <w:b/>
                <w:bCs/>
                <w:color w:val="000000"/>
                <w:sz w:val="18"/>
                <w:szCs w:val="18"/>
              </w:rPr>
              <w:t>8.588</w:t>
            </w:r>
            <w:r w:rsidRPr="00227320">
              <w:rPr>
                <w:rFonts w:cs="Arial"/>
                <w:color w:val="000000"/>
                <w:sz w:val="18"/>
                <w:szCs w:val="18"/>
              </w:rPr>
              <w:t xml:space="preserve"> </w:t>
            </w:r>
          </w:p>
        </w:tc>
        <w:tc>
          <w:tcPr>
            <w:tcW w:w="0" w:type="auto"/>
            <w:tcMar>
              <w:top w:w="45" w:type="dxa"/>
              <w:left w:w="45" w:type="dxa"/>
              <w:bottom w:w="45" w:type="dxa"/>
              <w:right w:w="45" w:type="dxa"/>
            </w:tcMar>
            <w:hideMark/>
          </w:tcPr>
          <w:p w14:paraId="1C1B5D5C" w14:textId="77777777" w:rsidR="00227320" w:rsidRPr="00227320" w:rsidRDefault="00227320" w:rsidP="007653A4">
            <w:pPr>
              <w:spacing w:after="240"/>
              <w:jc w:val="right"/>
              <w:rPr>
                <w:rFonts w:cs="Arial"/>
                <w:color w:val="000000"/>
                <w:sz w:val="18"/>
                <w:szCs w:val="18"/>
              </w:rPr>
            </w:pPr>
            <w:r w:rsidRPr="00227320">
              <w:rPr>
                <w:rFonts w:cs="Arial"/>
                <w:b/>
                <w:bCs/>
                <w:color w:val="000000"/>
                <w:sz w:val="18"/>
                <w:szCs w:val="18"/>
              </w:rPr>
              <w:t>8.572</w:t>
            </w:r>
            <w:r w:rsidRPr="00227320">
              <w:rPr>
                <w:rFonts w:cs="Arial"/>
                <w:color w:val="000000"/>
                <w:sz w:val="18"/>
                <w:szCs w:val="18"/>
              </w:rPr>
              <w:t xml:space="preserve"> </w:t>
            </w:r>
          </w:p>
        </w:tc>
      </w:tr>
    </w:tbl>
    <w:p w14:paraId="0A350D51" w14:textId="77777777" w:rsidR="00227320" w:rsidRDefault="00227320" w:rsidP="007653A4">
      <w:pPr>
        <w:pStyle w:val="Standaardingesprongen"/>
        <w:ind w:left="0"/>
        <w:rPr>
          <w:lang w:eastAsia="en-US"/>
        </w:rPr>
      </w:pPr>
    </w:p>
    <w:p w14:paraId="0A023E3D" w14:textId="77777777" w:rsidR="00227320" w:rsidRDefault="00227320" w:rsidP="007653A4">
      <w:pPr>
        <w:pStyle w:val="Standaardingesprongen"/>
        <w:ind w:left="0"/>
        <w:rPr>
          <w:lang w:eastAsia="en-US"/>
        </w:rPr>
      </w:pPr>
    </w:p>
    <w:p w14:paraId="131A69DA" w14:textId="77777777" w:rsidR="00227320" w:rsidRDefault="00227320" w:rsidP="007653A4">
      <w:pPr>
        <w:pStyle w:val="Standaardingesprongen"/>
        <w:ind w:left="0"/>
        <w:rPr>
          <w:lang w:eastAsia="en-US"/>
        </w:rPr>
      </w:pPr>
    </w:p>
    <w:p w14:paraId="20F2F1F6" w14:textId="77777777" w:rsidR="00227320" w:rsidRPr="001B44FC" w:rsidRDefault="00227320" w:rsidP="007653A4">
      <w:pPr>
        <w:spacing w:after="240"/>
        <w:rPr>
          <w:rFonts w:cs="Arial"/>
          <w:b/>
          <w:color w:val="000000"/>
          <w:sz w:val="24"/>
          <w:szCs w:val="24"/>
        </w:rPr>
      </w:pPr>
      <w:r w:rsidRPr="001B44FC">
        <w:rPr>
          <w:b/>
          <w:sz w:val="24"/>
          <w:szCs w:val="24"/>
        </w:rPr>
        <w:t>Financiële intensiveringen vanuit het coalitieakkoord op het terrein van leefbaarheid en veiligheid</w:t>
      </w:r>
    </w:p>
    <w:tbl>
      <w:tblPr>
        <w:tblStyle w:val="Tabelraster"/>
        <w:tblW w:w="0" w:type="auto"/>
        <w:tblLook w:val="04A0" w:firstRow="1" w:lastRow="0" w:firstColumn="1" w:lastColumn="0" w:noHBand="0" w:noVBand="1"/>
      </w:tblPr>
      <w:tblGrid>
        <w:gridCol w:w="2547"/>
        <w:gridCol w:w="992"/>
        <w:gridCol w:w="1134"/>
        <w:gridCol w:w="1559"/>
        <w:gridCol w:w="1134"/>
      </w:tblGrid>
      <w:tr w:rsidR="00227320" w:rsidRPr="00627CEC" w14:paraId="6FDA1853" w14:textId="77777777" w:rsidTr="00C4622C">
        <w:tc>
          <w:tcPr>
            <w:tcW w:w="2547" w:type="dxa"/>
          </w:tcPr>
          <w:p w14:paraId="23392D94" w14:textId="22EE216F" w:rsidR="00227320" w:rsidRPr="00C714F1" w:rsidRDefault="00C714F1" w:rsidP="007653A4">
            <w:pPr>
              <w:spacing w:after="240"/>
              <w:rPr>
                <w:rFonts w:cs="Arial"/>
                <w:b/>
                <w:color w:val="000000"/>
                <w:sz w:val="16"/>
                <w:szCs w:val="16"/>
              </w:rPr>
            </w:pPr>
            <w:r w:rsidRPr="00C714F1">
              <w:rPr>
                <w:rFonts w:cs="Arial"/>
                <w:b/>
                <w:bCs/>
                <w:color w:val="000000"/>
                <w:sz w:val="16"/>
                <w:szCs w:val="16"/>
              </w:rPr>
              <w:t>bedragen x € 1.000</w:t>
            </w:r>
          </w:p>
        </w:tc>
        <w:tc>
          <w:tcPr>
            <w:tcW w:w="992" w:type="dxa"/>
          </w:tcPr>
          <w:p w14:paraId="63965DFB" w14:textId="77777777" w:rsidR="00227320" w:rsidRPr="00627CEC" w:rsidRDefault="00227320" w:rsidP="007653A4">
            <w:pPr>
              <w:spacing w:after="240"/>
              <w:rPr>
                <w:rFonts w:cs="Arial"/>
                <w:b/>
                <w:color w:val="000000"/>
                <w:sz w:val="18"/>
                <w:szCs w:val="18"/>
              </w:rPr>
            </w:pPr>
            <w:r w:rsidRPr="00627CEC">
              <w:rPr>
                <w:rFonts w:cs="Arial"/>
                <w:b/>
                <w:color w:val="000000"/>
                <w:sz w:val="18"/>
                <w:szCs w:val="18"/>
              </w:rPr>
              <w:t>2019</w:t>
            </w:r>
          </w:p>
        </w:tc>
        <w:tc>
          <w:tcPr>
            <w:tcW w:w="1134" w:type="dxa"/>
          </w:tcPr>
          <w:p w14:paraId="1AA05082" w14:textId="77777777" w:rsidR="00227320" w:rsidRPr="00627CEC" w:rsidRDefault="00227320" w:rsidP="007653A4">
            <w:pPr>
              <w:spacing w:after="240"/>
              <w:rPr>
                <w:rFonts w:cs="Arial"/>
                <w:b/>
                <w:color w:val="000000"/>
                <w:sz w:val="18"/>
                <w:szCs w:val="18"/>
              </w:rPr>
            </w:pPr>
            <w:r w:rsidRPr="00627CEC">
              <w:rPr>
                <w:rFonts w:cs="Arial"/>
                <w:b/>
                <w:color w:val="000000"/>
                <w:sz w:val="18"/>
                <w:szCs w:val="18"/>
              </w:rPr>
              <w:t>2020</w:t>
            </w:r>
          </w:p>
        </w:tc>
        <w:tc>
          <w:tcPr>
            <w:tcW w:w="1559" w:type="dxa"/>
          </w:tcPr>
          <w:p w14:paraId="133D5B67" w14:textId="77777777" w:rsidR="00227320" w:rsidRPr="00627CEC" w:rsidRDefault="00227320" w:rsidP="007653A4">
            <w:pPr>
              <w:spacing w:after="240"/>
              <w:rPr>
                <w:rFonts w:cs="Arial"/>
                <w:b/>
                <w:color w:val="000000"/>
                <w:sz w:val="18"/>
                <w:szCs w:val="18"/>
              </w:rPr>
            </w:pPr>
            <w:r w:rsidRPr="00627CEC">
              <w:rPr>
                <w:rFonts w:cs="Arial"/>
                <w:b/>
                <w:color w:val="000000"/>
                <w:sz w:val="18"/>
                <w:szCs w:val="18"/>
              </w:rPr>
              <w:t>2021</w:t>
            </w:r>
          </w:p>
        </w:tc>
        <w:tc>
          <w:tcPr>
            <w:tcW w:w="1134" w:type="dxa"/>
          </w:tcPr>
          <w:p w14:paraId="33E83F88" w14:textId="77777777" w:rsidR="00227320" w:rsidRPr="00627CEC" w:rsidRDefault="00227320" w:rsidP="007653A4">
            <w:pPr>
              <w:spacing w:after="240"/>
              <w:rPr>
                <w:rFonts w:cs="Arial"/>
                <w:b/>
                <w:color w:val="000000"/>
                <w:sz w:val="18"/>
                <w:szCs w:val="18"/>
              </w:rPr>
            </w:pPr>
            <w:r w:rsidRPr="00627CEC">
              <w:rPr>
                <w:rFonts w:cs="Arial"/>
                <w:b/>
                <w:color w:val="000000"/>
                <w:sz w:val="18"/>
                <w:szCs w:val="18"/>
              </w:rPr>
              <w:t>2022</w:t>
            </w:r>
          </w:p>
        </w:tc>
      </w:tr>
      <w:tr w:rsidR="00227320" w14:paraId="23348B59" w14:textId="77777777" w:rsidTr="00C4622C">
        <w:tc>
          <w:tcPr>
            <w:tcW w:w="2547" w:type="dxa"/>
          </w:tcPr>
          <w:p w14:paraId="1CE412C7" w14:textId="77777777" w:rsidR="00227320" w:rsidRDefault="00227320" w:rsidP="007653A4">
            <w:pPr>
              <w:spacing w:after="240"/>
              <w:rPr>
                <w:rFonts w:cs="Arial"/>
                <w:color w:val="000000"/>
                <w:sz w:val="18"/>
                <w:szCs w:val="18"/>
              </w:rPr>
            </w:pPr>
            <w:r>
              <w:rPr>
                <w:rFonts w:cs="Arial"/>
                <w:color w:val="000000"/>
                <w:sz w:val="18"/>
                <w:szCs w:val="18"/>
              </w:rPr>
              <w:t>Impulsbudget leefbaarheid (incl. Buurt bestuurt)</w:t>
            </w:r>
          </w:p>
        </w:tc>
        <w:tc>
          <w:tcPr>
            <w:tcW w:w="992" w:type="dxa"/>
          </w:tcPr>
          <w:p w14:paraId="74B1220C" w14:textId="77777777" w:rsidR="00227320" w:rsidRDefault="00227320" w:rsidP="007653A4">
            <w:pPr>
              <w:spacing w:after="240"/>
              <w:rPr>
                <w:rFonts w:cs="Arial"/>
                <w:color w:val="000000"/>
                <w:sz w:val="18"/>
                <w:szCs w:val="18"/>
              </w:rPr>
            </w:pPr>
            <w:r>
              <w:rPr>
                <w:rFonts w:cs="Arial"/>
                <w:color w:val="000000"/>
                <w:sz w:val="18"/>
                <w:szCs w:val="18"/>
              </w:rPr>
              <w:t>70</w:t>
            </w:r>
          </w:p>
        </w:tc>
        <w:tc>
          <w:tcPr>
            <w:tcW w:w="1134" w:type="dxa"/>
          </w:tcPr>
          <w:p w14:paraId="4A742AAF" w14:textId="77777777" w:rsidR="00227320" w:rsidRDefault="00227320" w:rsidP="007653A4">
            <w:pPr>
              <w:spacing w:after="240"/>
              <w:rPr>
                <w:rFonts w:cs="Arial"/>
                <w:color w:val="000000"/>
                <w:sz w:val="18"/>
                <w:szCs w:val="18"/>
              </w:rPr>
            </w:pPr>
            <w:r>
              <w:rPr>
                <w:rFonts w:cs="Arial"/>
                <w:color w:val="000000"/>
                <w:sz w:val="18"/>
                <w:szCs w:val="18"/>
              </w:rPr>
              <w:t>130</w:t>
            </w:r>
          </w:p>
        </w:tc>
        <w:tc>
          <w:tcPr>
            <w:tcW w:w="1559" w:type="dxa"/>
          </w:tcPr>
          <w:p w14:paraId="65964D05" w14:textId="77777777" w:rsidR="00227320" w:rsidRDefault="00227320" w:rsidP="007653A4">
            <w:pPr>
              <w:spacing w:after="240"/>
              <w:rPr>
                <w:rFonts w:cs="Arial"/>
                <w:color w:val="000000"/>
                <w:sz w:val="18"/>
                <w:szCs w:val="18"/>
              </w:rPr>
            </w:pPr>
            <w:r>
              <w:rPr>
                <w:rFonts w:cs="Arial"/>
                <w:color w:val="000000"/>
                <w:sz w:val="18"/>
                <w:szCs w:val="18"/>
              </w:rPr>
              <w:t>130</w:t>
            </w:r>
          </w:p>
        </w:tc>
        <w:tc>
          <w:tcPr>
            <w:tcW w:w="1134" w:type="dxa"/>
          </w:tcPr>
          <w:p w14:paraId="5215A3AA" w14:textId="77777777" w:rsidR="00227320" w:rsidRDefault="00227320" w:rsidP="007653A4">
            <w:pPr>
              <w:spacing w:after="240"/>
              <w:rPr>
                <w:rFonts w:cs="Arial"/>
                <w:color w:val="000000"/>
                <w:sz w:val="18"/>
                <w:szCs w:val="18"/>
              </w:rPr>
            </w:pPr>
            <w:r>
              <w:rPr>
                <w:rFonts w:cs="Arial"/>
                <w:color w:val="000000"/>
                <w:sz w:val="18"/>
                <w:szCs w:val="18"/>
              </w:rPr>
              <w:t>130</w:t>
            </w:r>
          </w:p>
        </w:tc>
      </w:tr>
      <w:tr w:rsidR="00227320" w14:paraId="656A3683" w14:textId="77777777" w:rsidTr="00C4622C">
        <w:tc>
          <w:tcPr>
            <w:tcW w:w="2547" w:type="dxa"/>
          </w:tcPr>
          <w:p w14:paraId="31D29FF6" w14:textId="77777777" w:rsidR="00227320" w:rsidRDefault="00227320" w:rsidP="007653A4">
            <w:pPr>
              <w:spacing w:after="240"/>
              <w:rPr>
                <w:rFonts w:cs="Arial"/>
                <w:color w:val="000000"/>
                <w:sz w:val="18"/>
                <w:szCs w:val="18"/>
              </w:rPr>
            </w:pPr>
            <w:r>
              <w:rPr>
                <w:rFonts w:cs="Arial"/>
                <w:color w:val="000000"/>
                <w:sz w:val="18"/>
                <w:szCs w:val="18"/>
              </w:rPr>
              <w:t>Ondermijning</w:t>
            </w:r>
          </w:p>
        </w:tc>
        <w:tc>
          <w:tcPr>
            <w:tcW w:w="992" w:type="dxa"/>
          </w:tcPr>
          <w:p w14:paraId="784F76E8" w14:textId="77777777" w:rsidR="00227320" w:rsidRDefault="00227320" w:rsidP="007653A4">
            <w:pPr>
              <w:spacing w:after="240"/>
              <w:rPr>
                <w:rFonts w:cs="Arial"/>
                <w:color w:val="000000"/>
                <w:sz w:val="18"/>
                <w:szCs w:val="18"/>
              </w:rPr>
            </w:pPr>
          </w:p>
        </w:tc>
        <w:tc>
          <w:tcPr>
            <w:tcW w:w="1134" w:type="dxa"/>
          </w:tcPr>
          <w:p w14:paraId="1B919A9E" w14:textId="77777777" w:rsidR="00227320" w:rsidRDefault="00227320" w:rsidP="007653A4">
            <w:pPr>
              <w:spacing w:after="240"/>
              <w:rPr>
                <w:rFonts w:cs="Arial"/>
                <w:color w:val="000000"/>
                <w:sz w:val="18"/>
                <w:szCs w:val="18"/>
              </w:rPr>
            </w:pPr>
            <w:r>
              <w:rPr>
                <w:rFonts w:cs="Arial"/>
                <w:color w:val="000000"/>
                <w:sz w:val="18"/>
                <w:szCs w:val="18"/>
              </w:rPr>
              <w:t>100</w:t>
            </w:r>
          </w:p>
        </w:tc>
        <w:tc>
          <w:tcPr>
            <w:tcW w:w="1559" w:type="dxa"/>
          </w:tcPr>
          <w:p w14:paraId="3BE56E73" w14:textId="77777777" w:rsidR="00227320" w:rsidRDefault="00227320" w:rsidP="007653A4">
            <w:pPr>
              <w:spacing w:after="240"/>
              <w:rPr>
                <w:rFonts w:cs="Arial"/>
                <w:color w:val="000000"/>
                <w:sz w:val="18"/>
                <w:szCs w:val="18"/>
              </w:rPr>
            </w:pPr>
            <w:r>
              <w:rPr>
                <w:rFonts w:cs="Arial"/>
                <w:color w:val="000000"/>
                <w:sz w:val="18"/>
                <w:szCs w:val="18"/>
              </w:rPr>
              <w:t>100</w:t>
            </w:r>
          </w:p>
        </w:tc>
        <w:tc>
          <w:tcPr>
            <w:tcW w:w="1134" w:type="dxa"/>
          </w:tcPr>
          <w:p w14:paraId="6BCAFD74" w14:textId="77777777" w:rsidR="00227320" w:rsidRDefault="00227320" w:rsidP="007653A4">
            <w:pPr>
              <w:spacing w:after="240"/>
              <w:rPr>
                <w:rFonts w:cs="Arial"/>
                <w:color w:val="000000"/>
                <w:sz w:val="18"/>
                <w:szCs w:val="18"/>
              </w:rPr>
            </w:pPr>
            <w:r>
              <w:rPr>
                <w:rFonts w:cs="Arial"/>
                <w:color w:val="000000"/>
                <w:sz w:val="18"/>
                <w:szCs w:val="18"/>
              </w:rPr>
              <w:t>100</w:t>
            </w:r>
          </w:p>
        </w:tc>
      </w:tr>
      <w:tr w:rsidR="00227320" w14:paraId="55073B8C" w14:textId="77777777" w:rsidTr="00C4622C">
        <w:tc>
          <w:tcPr>
            <w:tcW w:w="2547" w:type="dxa"/>
          </w:tcPr>
          <w:p w14:paraId="36BA24AB" w14:textId="77777777" w:rsidR="00227320" w:rsidRDefault="00227320" w:rsidP="007653A4">
            <w:pPr>
              <w:spacing w:after="240"/>
              <w:rPr>
                <w:rFonts w:cs="Arial"/>
                <w:color w:val="000000"/>
                <w:sz w:val="18"/>
                <w:szCs w:val="18"/>
              </w:rPr>
            </w:pPr>
            <w:r>
              <w:rPr>
                <w:rFonts w:cs="Arial"/>
                <w:color w:val="000000"/>
                <w:sz w:val="18"/>
                <w:szCs w:val="18"/>
              </w:rPr>
              <w:t>Aanpak Woninginbraken</w:t>
            </w:r>
          </w:p>
        </w:tc>
        <w:tc>
          <w:tcPr>
            <w:tcW w:w="992" w:type="dxa"/>
          </w:tcPr>
          <w:p w14:paraId="1E1D8F3C" w14:textId="77777777" w:rsidR="00227320" w:rsidRDefault="00227320" w:rsidP="007653A4">
            <w:pPr>
              <w:spacing w:after="240"/>
              <w:rPr>
                <w:rFonts w:cs="Arial"/>
                <w:color w:val="000000"/>
                <w:sz w:val="18"/>
                <w:szCs w:val="18"/>
              </w:rPr>
            </w:pPr>
          </w:p>
        </w:tc>
        <w:tc>
          <w:tcPr>
            <w:tcW w:w="1134" w:type="dxa"/>
          </w:tcPr>
          <w:p w14:paraId="6F0CC5D7" w14:textId="77777777" w:rsidR="00227320" w:rsidRDefault="00227320" w:rsidP="007653A4">
            <w:pPr>
              <w:spacing w:after="240"/>
              <w:rPr>
                <w:rFonts w:cs="Arial"/>
                <w:color w:val="000000"/>
                <w:sz w:val="18"/>
                <w:szCs w:val="18"/>
              </w:rPr>
            </w:pPr>
            <w:r>
              <w:rPr>
                <w:rFonts w:cs="Arial"/>
                <w:color w:val="000000"/>
                <w:sz w:val="18"/>
                <w:szCs w:val="18"/>
              </w:rPr>
              <w:t>200</w:t>
            </w:r>
          </w:p>
        </w:tc>
        <w:tc>
          <w:tcPr>
            <w:tcW w:w="1559" w:type="dxa"/>
          </w:tcPr>
          <w:p w14:paraId="580EA92A" w14:textId="77777777" w:rsidR="00227320" w:rsidRDefault="00227320" w:rsidP="007653A4">
            <w:pPr>
              <w:spacing w:after="240"/>
              <w:rPr>
                <w:rFonts w:cs="Arial"/>
                <w:color w:val="000000"/>
                <w:sz w:val="18"/>
                <w:szCs w:val="18"/>
              </w:rPr>
            </w:pPr>
            <w:r>
              <w:rPr>
                <w:rFonts w:cs="Arial"/>
                <w:color w:val="000000"/>
                <w:sz w:val="18"/>
                <w:szCs w:val="18"/>
              </w:rPr>
              <w:t>150</w:t>
            </w:r>
          </w:p>
        </w:tc>
        <w:tc>
          <w:tcPr>
            <w:tcW w:w="1134" w:type="dxa"/>
          </w:tcPr>
          <w:p w14:paraId="457C8500" w14:textId="77777777" w:rsidR="00227320" w:rsidRDefault="00227320" w:rsidP="007653A4">
            <w:pPr>
              <w:spacing w:after="240"/>
              <w:rPr>
                <w:rFonts w:cs="Arial"/>
                <w:color w:val="000000"/>
                <w:sz w:val="18"/>
                <w:szCs w:val="18"/>
              </w:rPr>
            </w:pPr>
            <w:r>
              <w:rPr>
                <w:rFonts w:cs="Arial"/>
                <w:color w:val="000000"/>
                <w:sz w:val="18"/>
                <w:szCs w:val="18"/>
              </w:rPr>
              <w:t>100</w:t>
            </w:r>
          </w:p>
        </w:tc>
      </w:tr>
      <w:tr w:rsidR="00227320" w14:paraId="191B49B0" w14:textId="77777777" w:rsidTr="00C4622C">
        <w:tc>
          <w:tcPr>
            <w:tcW w:w="2547" w:type="dxa"/>
          </w:tcPr>
          <w:p w14:paraId="11844EF1" w14:textId="77777777" w:rsidR="00227320" w:rsidRDefault="00227320" w:rsidP="007653A4">
            <w:pPr>
              <w:spacing w:after="240"/>
              <w:rPr>
                <w:rFonts w:cs="Arial"/>
                <w:color w:val="000000"/>
                <w:sz w:val="18"/>
                <w:szCs w:val="18"/>
              </w:rPr>
            </w:pPr>
            <w:r>
              <w:rPr>
                <w:rFonts w:cs="Arial"/>
                <w:color w:val="000000"/>
                <w:sz w:val="18"/>
                <w:szCs w:val="18"/>
              </w:rPr>
              <w:t>Evaluatie Jongerenwerk</w:t>
            </w:r>
          </w:p>
        </w:tc>
        <w:tc>
          <w:tcPr>
            <w:tcW w:w="992" w:type="dxa"/>
          </w:tcPr>
          <w:p w14:paraId="1BD5284E" w14:textId="77777777" w:rsidR="00227320" w:rsidRDefault="00227320" w:rsidP="007653A4">
            <w:pPr>
              <w:spacing w:after="240"/>
              <w:rPr>
                <w:rFonts w:cs="Arial"/>
                <w:color w:val="000000"/>
                <w:sz w:val="18"/>
                <w:szCs w:val="18"/>
              </w:rPr>
            </w:pPr>
            <w:r>
              <w:rPr>
                <w:rFonts w:cs="Arial"/>
                <w:color w:val="000000"/>
                <w:sz w:val="18"/>
                <w:szCs w:val="18"/>
              </w:rPr>
              <w:t>30</w:t>
            </w:r>
          </w:p>
        </w:tc>
        <w:tc>
          <w:tcPr>
            <w:tcW w:w="1134" w:type="dxa"/>
          </w:tcPr>
          <w:p w14:paraId="5B77E704" w14:textId="77777777" w:rsidR="00227320" w:rsidRDefault="00227320" w:rsidP="007653A4">
            <w:pPr>
              <w:spacing w:after="240"/>
              <w:rPr>
                <w:rFonts w:cs="Arial"/>
                <w:color w:val="000000"/>
                <w:sz w:val="18"/>
                <w:szCs w:val="18"/>
              </w:rPr>
            </w:pPr>
          </w:p>
        </w:tc>
        <w:tc>
          <w:tcPr>
            <w:tcW w:w="1559" w:type="dxa"/>
          </w:tcPr>
          <w:p w14:paraId="21E66483" w14:textId="77777777" w:rsidR="00227320" w:rsidRDefault="00227320" w:rsidP="007653A4">
            <w:pPr>
              <w:spacing w:after="240"/>
              <w:rPr>
                <w:rFonts w:cs="Arial"/>
                <w:color w:val="000000"/>
                <w:sz w:val="18"/>
                <w:szCs w:val="18"/>
              </w:rPr>
            </w:pPr>
          </w:p>
        </w:tc>
        <w:tc>
          <w:tcPr>
            <w:tcW w:w="1134" w:type="dxa"/>
          </w:tcPr>
          <w:p w14:paraId="1EAACA30" w14:textId="77777777" w:rsidR="00227320" w:rsidRDefault="00227320" w:rsidP="007653A4">
            <w:pPr>
              <w:spacing w:after="240"/>
              <w:rPr>
                <w:rFonts w:cs="Arial"/>
                <w:color w:val="000000"/>
                <w:sz w:val="18"/>
                <w:szCs w:val="18"/>
              </w:rPr>
            </w:pPr>
          </w:p>
        </w:tc>
      </w:tr>
      <w:tr w:rsidR="00227320" w14:paraId="62ACDACF" w14:textId="77777777" w:rsidTr="00C4622C">
        <w:tc>
          <w:tcPr>
            <w:tcW w:w="2547" w:type="dxa"/>
          </w:tcPr>
          <w:p w14:paraId="46E6ABE5" w14:textId="77777777" w:rsidR="00227320" w:rsidRDefault="00227320" w:rsidP="007653A4">
            <w:pPr>
              <w:spacing w:after="240"/>
              <w:rPr>
                <w:rFonts w:cs="Arial"/>
                <w:color w:val="000000"/>
                <w:sz w:val="18"/>
                <w:szCs w:val="18"/>
              </w:rPr>
            </w:pPr>
            <w:r>
              <w:rPr>
                <w:rFonts w:cs="Arial"/>
                <w:color w:val="000000"/>
                <w:sz w:val="18"/>
                <w:szCs w:val="18"/>
              </w:rPr>
              <w:t>Ondersteuning stadsmarinier</w:t>
            </w:r>
          </w:p>
        </w:tc>
        <w:tc>
          <w:tcPr>
            <w:tcW w:w="992" w:type="dxa"/>
          </w:tcPr>
          <w:p w14:paraId="1A5D4A8F" w14:textId="77777777" w:rsidR="00227320" w:rsidRDefault="00227320" w:rsidP="007653A4">
            <w:pPr>
              <w:spacing w:after="240"/>
              <w:rPr>
                <w:rFonts w:cs="Arial"/>
                <w:color w:val="000000"/>
                <w:sz w:val="18"/>
                <w:szCs w:val="18"/>
              </w:rPr>
            </w:pPr>
            <w:r>
              <w:rPr>
                <w:rFonts w:cs="Arial"/>
                <w:color w:val="000000"/>
                <w:sz w:val="18"/>
                <w:szCs w:val="18"/>
              </w:rPr>
              <w:t>80</w:t>
            </w:r>
          </w:p>
        </w:tc>
        <w:tc>
          <w:tcPr>
            <w:tcW w:w="1134" w:type="dxa"/>
          </w:tcPr>
          <w:p w14:paraId="080205AD" w14:textId="77777777" w:rsidR="00227320" w:rsidRDefault="00227320" w:rsidP="007653A4">
            <w:pPr>
              <w:spacing w:after="240"/>
              <w:rPr>
                <w:rFonts w:cs="Arial"/>
                <w:color w:val="000000"/>
                <w:sz w:val="18"/>
                <w:szCs w:val="18"/>
              </w:rPr>
            </w:pPr>
            <w:r>
              <w:rPr>
                <w:rFonts w:cs="Arial"/>
                <w:color w:val="000000"/>
                <w:sz w:val="18"/>
                <w:szCs w:val="18"/>
              </w:rPr>
              <w:t>80</w:t>
            </w:r>
          </w:p>
        </w:tc>
        <w:tc>
          <w:tcPr>
            <w:tcW w:w="1559" w:type="dxa"/>
          </w:tcPr>
          <w:p w14:paraId="50A07A64" w14:textId="77777777" w:rsidR="00227320" w:rsidRDefault="00227320" w:rsidP="007653A4">
            <w:pPr>
              <w:spacing w:after="240"/>
              <w:rPr>
                <w:rFonts w:cs="Arial"/>
                <w:color w:val="000000"/>
                <w:sz w:val="18"/>
                <w:szCs w:val="18"/>
              </w:rPr>
            </w:pPr>
            <w:r>
              <w:rPr>
                <w:rFonts w:cs="Arial"/>
                <w:color w:val="000000"/>
                <w:sz w:val="18"/>
                <w:szCs w:val="18"/>
              </w:rPr>
              <w:t>80</w:t>
            </w:r>
          </w:p>
        </w:tc>
        <w:tc>
          <w:tcPr>
            <w:tcW w:w="1134" w:type="dxa"/>
          </w:tcPr>
          <w:p w14:paraId="37841F2D" w14:textId="77777777" w:rsidR="00227320" w:rsidRDefault="00227320" w:rsidP="007653A4">
            <w:pPr>
              <w:spacing w:after="240"/>
              <w:rPr>
                <w:rFonts w:cs="Arial"/>
                <w:color w:val="000000"/>
                <w:sz w:val="18"/>
                <w:szCs w:val="18"/>
              </w:rPr>
            </w:pPr>
            <w:r>
              <w:rPr>
                <w:rFonts w:cs="Arial"/>
                <w:color w:val="000000"/>
                <w:sz w:val="18"/>
                <w:szCs w:val="18"/>
              </w:rPr>
              <w:t>80</w:t>
            </w:r>
          </w:p>
        </w:tc>
      </w:tr>
      <w:tr w:rsidR="00227320" w14:paraId="7953AF28" w14:textId="77777777" w:rsidTr="00C4622C">
        <w:tc>
          <w:tcPr>
            <w:tcW w:w="2547" w:type="dxa"/>
          </w:tcPr>
          <w:p w14:paraId="1C5332C2" w14:textId="77777777" w:rsidR="00227320" w:rsidRDefault="00227320" w:rsidP="007653A4">
            <w:pPr>
              <w:spacing w:after="240"/>
              <w:rPr>
                <w:rFonts w:cs="Arial"/>
                <w:color w:val="000000"/>
                <w:sz w:val="18"/>
                <w:szCs w:val="18"/>
              </w:rPr>
            </w:pPr>
            <w:r>
              <w:rPr>
                <w:rFonts w:cs="Arial"/>
                <w:color w:val="000000"/>
                <w:sz w:val="18"/>
                <w:szCs w:val="18"/>
              </w:rPr>
              <w:t>Aanpak Radicalisering</w:t>
            </w:r>
          </w:p>
        </w:tc>
        <w:tc>
          <w:tcPr>
            <w:tcW w:w="992" w:type="dxa"/>
          </w:tcPr>
          <w:p w14:paraId="3ECF041C" w14:textId="77777777" w:rsidR="00227320" w:rsidRDefault="00227320" w:rsidP="007653A4">
            <w:pPr>
              <w:spacing w:after="240"/>
              <w:rPr>
                <w:rFonts w:cs="Arial"/>
                <w:color w:val="000000"/>
                <w:sz w:val="18"/>
                <w:szCs w:val="18"/>
              </w:rPr>
            </w:pPr>
          </w:p>
        </w:tc>
        <w:tc>
          <w:tcPr>
            <w:tcW w:w="1134" w:type="dxa"/>
          </w:tcPr>
          <w:p w14:paraId="26DD7287" w14:textId="77777777" w:rsidR="00227320" w:rsidRDefault="00227320" w:rsidP="007653A4">
            <w:pPr>
              <w:spacing w:after="240"/>
              <w:rPr>
                <w:rFonts w:cs="Arial"/>
                <w:color w:val="000000"/>
                <w:sz w:val="18"/>
                <w:szCs w:val="18"/>
              </w:rPr>
            </w:pPr>
            <w:r>
              <w:rPr>
                <w:rFonts w:cs="Arial"/>
                <w:color w:val="000000"/>
                <w:sz w:val="18"/>
                <w:szCs w:val="18"/>
              </w:rPr>
              <w:t>100</w:t>
            </w:r>
          </w:p>
        </w:tc>
        <w:tc>
          <w:tcPr>
            <w:tcW w:w="1559" w:type="dxa"/>
          </w:tcPr>
          <w:p w14:paraId="187F5C0B" w14:textId="77777777" w:rsidR="00227320" w:rsidRDefault="00227320" w:rsidP="007653A4">
            <w:pPr>
              <w:spacing w:after="240"/>
              <w:rPr>
                <w:rFonts w:cs="Arial"/>
                <w:color w:val="000000"/>
                <w:sz w:val="18"/>
                <w:szCs w:val="18"/>
              </w:rPr>
            </w:pPr>
            <w:r>
              <w:rPr>
                <w:rFonts w:cs="Arial"/>
                <w:color w:val="000000"/>
                <w:sz w:val="18"/>
                <w:szCs w:val="18"/>
              </w:rPr>
              <w:t>100</w:t>
            </w:r>
          </w:p>
        </w:tc>
        <w:tc>
          <w:tcPr>
            <w:tcW w:w="1134" w:type="dxa"/>
          </w:tcPr>
          <w:p w14:paraId="68FAD1E8" w14:textId="77777777" w:rsidR="00227320" w:rsidRDefault="00227320" w:rsidP="007653A4">
            <w:pPr>
              <w:spacing w:after="240"/>
              <w:rPr>
                <w:rFonts w:cs="Arial"/>
                <w:color w:val="000000"/>
                <w:sz w:val="18"/>
                <w:szCs w:val="18"/>
              </w:rPr>
            </w:pPr>
            <w:r>
              <w:rPr>
                <w:rFonts w:cs="Arial"/>
                <w:color w:val="000000"/>
                <w:sz w:val="18"/>
                <w:szCs w:val="18"/>
              </w:rPr>
              <w:t>100</w:t>
            </w:r>
          </w:p>
        </w:tc>
      </w:tr>
    </w:tbl>
    <w:p w14:paraId="1A7397BB" w14:textId="77777777" w:rsidR="00227320" w:rsidRPr="005D12D5" w:rsidRDefault="00227320" w:rsidP="007653A4">
      <w:pPr>
        <w:pStyle w:val="Lijstnummering"/>
        <w:numPr>
          <w:ilvl w:val="0"/>
          <w:numId w:val="0"/>
        </w:numPr>
      </w:pPr>
    </w:p>
    <w:p w14:paraId="775B92CE" w14:textId="77777777" w:rsidR="00227320" w:rsidRDefault="00227320" w:rsidP="007653A4">
      <w:pPr>
        <w:pStyle w:val="Standaardingesprongen"/>
        <w:ind w:left="0"/>
        <w:rPr>
          <w:lang w:eastAsia="en-US"/>
        </w:rPr>
      </w:pPr>
    </w:p>
    <w:p w14:paraId="032E0E9F" w14:textId="77777777" w:rsidR="00227320" w:rsidRPr="00E64472" w:rsidRDefault="00227320" w:rsidP="007653A4">
      <w:pPr>
        <w:pStyle w:val="Standaardingesprongen"/>
        <w:rPr>
          <w:lang w:eastAsia="en-US"/>
        </w:rPr>
      </w:pPr>
      <w:bookmarkStart w:id="15" w:name="_GoBack"/>
      <w:bookmarkEnd w:id="15"/>
    </w:p>
    <w:p w14:paraId="5A44B848" w14:textId="3B4FB754" w:rsidR="00C714F1" w:rsidRDefault="00C714F1" w:rsidP="007653A4">
      <w:pPr>
        <w:pStyle w:val="Standaardingesprongen0"/>
      </w:pPr>
      <w:r>
        <w:rPr>
          <w:noProof/>
          <w:lang w:eastAsia="nl-NL"/>
        </w:rPr>
        <w:drawing>
          <wp:inline distT="0" distB="0" distL="0" distR="0" wp14:anchorId="7225DB8A" wp14:editId="7FCC0BD1">
            <wp:extent cx="5476875" cy="3676650"/>
            <wp:effectExtent l="0" t="0" r="9525"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3D1D2E" w14:textId="51EE3AB9" w:rsidR="00C714F1" w:rsidRDefault="00C714F1" w:rsidP="007653A4">
      <w:pPr>
        <w:pStyle w:val="Standaardingesprongen"/>
        <w:ind w:left="0"/>
        <w:rPr>
          <w:b/>
          <w:lang w:eastAsia="en-US"/>
        </w:rPr>
      </w:pPr>
      <w:r w:rsidRPr="00C714F1">
        <w:rPr>
          <w:b/>
          <w:lang w:eastAsia="en-US"/>
        </w:rPr>
        <w:t>Procentuele verdeling van de budgetten voor leefbaarheid en veiligheid</w:t>
      </w:r>
    </w:p>
    <w:p w14:paraId="7C38EF79" w14:textId="77777777" w:rsidR="00C714F1" w:rsidRDefault="00C714F1" w:rsidP="007653A4">
      <w:pPr>
        <w:pStyle w:val="Standaardingesprongen"/>
        <w:ind w:left="0"/>
        <w:rPr>
          <w:b/>
          <w:lang w:eastAsia="en-US"/>
        </w:rPr>
      </w:pPr>
    </w:p>
    <w:p w14:paraId="2F47EC9E" w14:textId="77777777" w:rsidR="00C714F1" w:rsidRDefault="00C714F1" w:rsidP="007653A4">
      <w:pPr>
        <w:pStyle w:val="Standaardingesprongen"/>
        <w:ind w:left="0"/>
        <w:rPr>
          <w:b/>
          <w:lang w:eastAsia="en-US"/>
        </w:rPr>
      </w:pPr>
    </w:p>
    <w:p w14:paraId="754D4662" w14:textId="77777777" w:rsidR="00C714F1" w:rsidRPr="00C714F1" w:rsidRDefault="00C714F1" w:rsidP="007653A4">
      <w:pPr>
        <w:pStyle w:val="Standaardingesprongen"/>
        <w:ind w:left="0"/>
        <w:rPr>
          <w:b/>
          <w:lang w:eastAsia="en-US"/>
        </w:rPr>
      </w:pPr>
    </w:p>
    <w:p w14:paraId="7D95320B" w14:textId="77777777" w:rsidR="00C714F1" w:rsidRDefault="00C714F1" w:rsidP="007653A4">
      <w:pPr>
        <w:pStyle w:val="Standaardingesprongen"/>
        <w:rPr>
          <w:lang w:eastAsia="en-US"/>
        </w:rPr>
      </w:pPr>
    </w:p>
    <w:p w14:paraId="5FADC303" w14:textId="77777777" w:rsidR="00C714F1" w:rsidRDefault="00C714F1" w:rsidP="007653A4">
      <w:pPr>
        <w:pStyle w:val="Standaardingesprongen"/>
        <w:rPr>
          <w:lang w:eastAsia="en-US"/>
        </w:rPr>
      </w:pPr>
    </w:p>
    <w:p w14:paraId="281F33F7" w14:textId="77777777" w:rsidR="00C714F1" w:rsidRDefault="00C714F1" w:rsidP="007653A4">
      <w:pPr>
        <w:pStyle w:val="Standaardingesprongen"/>
        <w:rPr>
          <w:lang w:eastAsia="en-US"/>
        </w:rPr>
      </w:pPr>
    </w:p>
    <w:p w14:paraId="50195775" w14:textId="77777777" w:rsidR="00C714F1" w:rsidRDefault="00C714F1" w:rsidP="007653A4">
      <w:pPr>
        <w:pStyle w:val="Standaardingesprongen"/>
        <w:rPr>
          <w:lang w:eastAsia="en-US"/>
        </w:rPr>
      </w:pPr>
    </w:p>
    <w:p w14:paraId="773CFD57" w14:textId="77777777" w:rsidR="00C714F1" w:rsidRDefault="00C714F1" w:rsidP="007653A4">
      <w:pPr>
        <w:pStyle w:val="Standaardingesprongen"/>
        <w:rPr>
          <w:lang w:eastAsia="en-US"/>
        </w:rPr>
      </w:pPr>
    </w:p>
    <w:p w14:paraId="79CFEAA3" w14:textId="77777777" w:rsidR="00C714F1" w:rsidRDefault="00C714F1" w:rsidP="007653A4">
      <w:pPr>
        <w:pStyle w:val="Standaardingesprongen"/>
        <w:rPr>
          <w:lang w:eastAsia="en-US"/>
        </w:rPr>
      </w:pPr>
    </w:p>
    <w:p w14:paraId="38696F1E" w14:textId="77777777" w:rsidR="00C714F1" w:rsidRDefault="00C714F1" w:rsidP="007653A4">
      <w:pPr>
        <w:pStyle w:val="Standaardingesprongen"/>
        <w:rPr>
          <w:lang w:eastAsia="en-US"/>
        </w:rPr>
      </w:pPr>
    </w:p>
    <w:p w14:paraId="3FD8AE23" w14:textId="77777777" w:rsidR="00C714F1" w:rsidRPr="00C714F1" w:rsidRDefault="00C714F1" w:rsidP="007653A4">
      <w:pPr>
        <w:pStyle w:val="Standaardingesprongen"/>
        <w:rPr>
          <w:lang w:eastAsia="en-US"/>
        </w:rPr>
      </w:pPr>
    </w:p>
    <w:p w14:paraId="0DA42E1E" w14:textId="7FCD35A8" w:rsidR="008F0396" w:rsidRPr="00CC373A" w:rsidRDefault="00516022" w:rsidP="007653A4">
      <w:pPr>
        <w:pStyle w:val="Itemsnrsniveau1"/>
        <w:numPr>
          <w:ilvl w:val="0"/>
          <w:numId w:val="0"/>
        </w:numPr>
      </w:pPr>
      <w:bookmarkStart w:id="16" w:name="_Toc531857286"/>
      <w:r w:rsidRPr="00CC373A">
        <w:t>B</w:t>
      </w:r>
      <w:r w:rsidR="008F0396" w:rsidRPr="00CC373A">
        <w:t xml:space="preserve">ijlage </w:t>
      </w:r>
      <w:r w:rsidR="005A1377" w:rsidRPr="00CC373A">
        <w:t>A</w:t>
      </w:r>
      <w:bookmarkEnd w:id="16"/>
    </w:p>
    <w:p w14:paraId="792B0E4A" w14:textId="4E0ED78A" w:rsidR="0021367E" w:rsidRDefault="005A1377" w:rsidP="007653A4">
      <w:pPr>
        <w:spacing w:after="200" w:line="276" w:lineRule="auto"/>
        <w:rPr>
          <w:lang w:eastAsia="en-US"/>
        </w:rPr>
      </w:pPr>
      <w:r>
        <w:rPr>
          <w:lang w:eastAsia="en-US"/>
        </w:rPr>
        <w:t>Schematische weergave van de aanpak op ondermijning, een programma in vier sporen.</w:t>
      </w:r>
    </w:p>
    <w:p w14:paraId="6E89EFCA" w14:textId="77777777" w:rsidR="008F0396" w:rsidRDefault="008F0396" w:rsidP="007653A4">
      <w:pPr>
        <w:spacing w:after="200" w:line="276" w:lineRule="auto"/>
        <w:rPr>
          <w:lang w:eastAsia="en-US"/>
        </w:rPr>
      </w:pPr>
    </w:p>
    <w:p w14:paraId="5585D380" w14:textId="348C68C0" w:rsidR="008F0396" w:rsidRDefault="008F0396" w:rsidP="007653A4">
      <w:pPr>
        <w:spacing w:after="200" w:line="276" w:lineRule="auto"/>
        <w:rPr>
          <w:lang w:eastAsia="en-US"/>
        </w:rPr>
      </w:pPr>
      <w:r>
        <w:rPr>
          <w:noProof/>
        </w:rPr>
        <w:drawing>
          <wp:inline distT="0" distB="0" distL="0" distR="0" wp14:anchorId="099B6006" wp14:editId="28BF8A97">
            <wp:extent cx="8067675" cy="4740669"/>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590" cy="4748846"/>
                    </a:xfrm>
                    <a:prstGeom prst="rect">
                      <a:avLst/>
                    </a:prstGeom>
                    <a:noFill/>
                  </pic:spPr>
                </pic:pic>
              </a:graphicData>
            </a:graphic>
          </wp:inline>
        </w:drawing>
      </w:r>
    </w:p>
    <w:p w14:paraId="7E9060E5" w14:textId="77777777" w:rsidR="00516022" w:rsidRPr="002A7006" w:rsidRDefault="00516022" w:rsidP="007653A4">
      <w:pPr>
        <w:spacing w:after="200" w:line="276" w:lineRule="auto"/>
        <w:rPr>
          <w:lang w:eastAsia="en-US"/>
        </w:rPr>
      </w:pPr>
    </w:p>
    <w:sectPr w:rsidR="00516022" w:rsidRPr="002A7006" w:rsidSect="008D6A63">
      <w:footerReference w:type="default" r:id="rId12"/>
      <w:headerReference w:type="first" r:id="rId13"/>
      <w:footerReference w:type="first" r:id="rId14"/>
      <w:pgSz w:w="11906" w:h="16838" w:code="9"/>
      <w:pgMar w:top="1418" w:right="1418" w:bottom="1418" w:left="1134"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3471" w14:textId="77777777" w:rsidR="00002C53" w:rsidRDefault="00002C53" w:rsidP="00F70BDC">
      <w:r>
        <w:separator/>
      </w:r>
    </w:p>
  </w:endnote>
  <w:endnote w:type="continuationSeparator" w:id="0">
    <w:p w14:paraId="2BBFE648" w14:textId="77777777" w:rsidR="00002C53" w:rsidRDefault="00002C53"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Face">
    <w:altName w:val="Inter Fa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9F0C" w14:textId="77777777" w:rsidR="002036F8" w:rsidRPr="00E2459A" w:rsidRDefault="002036F8" w:rsidP="00D128AB">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sidR="009B3159">
      <w:rPr>
        <w:noProof/>
      </w:rPr>
      <w:t>10</w:t>
    </w:r>
    <w:r>
      <w:rPr>
        <w:noProof/>
      </w:rPr>
      <w:fldChar w:fldCharType="end"/>
    </w:r>
  </w:p>
  <w:p w14:paraId="68365A96" w14:textId="77777777" w:rsidR="002036F8" w:rsidRDefault="002036F8">
    <w:pPr>
      <w:pStyle w:val="Voettekst"/>
    </w:pPr>
    <w:r>
      <w:rPr>
        <w:noProof/>
      </w:rPr>
      <mc:AlternateContent>
        <mc:Choice Requires="wps">
          <w:drawing>
            <wp:anchor distT="0" distB="0" distL="114300" distR="114300" simplePos="0" relativeHeight="251657728" behindDoc="1" locked="0" layoutInCell="1" allowOverlap="1" wp14:anchorId="552A39DF" wp14:editId="4FFB0D8E">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48931"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D677" w14:textId="77777777" w:rsidR="002036F8" w:rsidRPr="00E2459A" w:rsidRDefault="002036F8" w:rsidP="00D128AB">
    <w:pPr>
      <w:pStyle w:val="Voettekst"/>
      <w:tabs>
        <w:tab w:val="clear" w:pos="4536"/>
        <w:tab w:val="clear" w:pos="9072"/>
        <w:tab w:val="right" w:pos="6047"/>
      </w:tabs>
      <w:rPr>
        <w:lang w:bidi="en-US"/>
      </w:rPr>
    </w:pPr>
    <w:r>
      <w:rPr>
        <w:rFonts w:cs="Arial"/>
        <w:sz w:val="16"/>
      </w:rPr>
      <w:tab/>
      <w:t xml:space="preserve">  </w:t>
    </w:r>
  </w:p>
  <w:p w14:paraId="194D601C" w14:textId="77777777" w:rsidR="002036F8" w:rsidRDefault="002036F8">
    <w:pPr>
      <w:pStyle w:val="Voettekst"/>
      <w:rPr>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FD69" w14:textId="77777777" w:rsidR="00002C53" w:rsidRDefault="00002C53" w:rsidP="00F70BDC">
      <w:r>
        <w:separator/>
      </w:r>
    </w:p>
  </w:footnote>
  <w:footnote w:type="continuationSeparator" w:id="0">
    <w:p w14:paraId="4ACB5B29" w14:textId="77777777" w:rsidR="00002C53" w:rsidRDefault="00002C53" w:rsidP="00F70BDC">
      <w:r>
        <w:continuationSeparator/>
      </w:r>
    </w:p>
  </w:footnote>
  <w:footnote w:id="1">
    <w:p w14:paraId="37571728" w14:textId="0E75751D" w:rsidR="002036F8" w:rsidRPr="00237377" w:rsidRDefault="002036F8">
      <w:pPr>
        <w:pStyle w:val="Voetnoottekst"/>
      </w:pPr>
      <w:r>
        <w:rPr>
          <w:rStyle w:val="Voetnootmarkering"/>
        </w:rPr>
        <w:footnoteRef/>
      </w:r>
      <w:r>
        <w:t xml:space="preserve"> Vergelijking tussen de cijfers uit oktober 2015 en oktober 2018. Bij publicatie van de definitieve versie zullen de jaarcijfers 2015 en 2018 vergeleken worden.</w:t>
      </w:r>
    </w:p>
  </w:footnote>
  <w:footnote w:id="2">
    <w:p w14:paraId="6D43EFDA" w14:textId="77777777" w:rsidR="002036F8" w:rsidRPr="009E40B0" w:rsidRDefault="002036F8" w:rsidP="00E4372D">
      <w:pPr>
        <w:pStyle w:val="Voetnoottekst"/>
        <w:rPr>
          <w:sz w:val="18"/>
          <w:szCs w:val="18"/>
        </w:rPr>
      </w:pPr>
      <w:r w:rsidRPr="009E40B0">
        <w:rPr>
          <w:rStyle w:val="Voetnootmarkering"/>
          <w:sz w:val="18"/>
          <w:szCs w:val="18"/>
        </w:rPr>
        <w:footnoteRef/>
      </w:r>
      <w:r w:rsidRPr="009E40B0">
        <w:rPr>
          <w:sz w:val="18"/>
          <w:szCs w:val="18"/>
        </w:rPr>
        <w:t xml:space="preserve"> Uitgevoerd door</w:t>
      </w:r>
      <w:r>
        <w:rPr>
          <w:sz w:val="18"/>
          <w:szCs w:val="18"/>
        </w:rPr>
        <w:t xml:space="preserve"> onderzoeksbureau</w:t>
      </w:r>
      <w:r w:rsidRPr="009E40B0">
        <w:rPr>
          <w:sz w:val="18"/>
          <w:szCs w:val="18"/>
        </w:rPr>
        <w:t xml:space="preserve"> Van </w:t>
      </w:r>
      <w:proofErr w:type="spellStart"/>
      <w:r w:rsidRPr="009E40B0">
        <w:rPr>
          <w:sz w:val="18"/>
          <w:szCs w:val="18"/>
        </w:rPr>
        <w:t>Aetsveld</w:t>
      </w:r>
      <w:proofErr w:type="spellEnd"/>
      <w:r w:rsidRPr="009E40B0">
        <w:rPr>
          <w:sz w:val="18"/>
          <w:szCs w:val="18"/>
        </w:rPr>
        <w:t xml:space="preserve"> in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243D" w14:textId="77777777" w:rsidR="002036F8" w:rsidRDefault="002036F8" w:rsidP="00D128AB">
    <w:pPr>
      <w:pStyle w:val="Koptekst"/>
      <w:rPr>
        <w:noProof/>
      </w:rPr>
    </w:pPr>
  </w:p>
  <w:p w14:paraId="77550A0E" w14:textId="77777777" w:rsidR="002036F8" w:rsidRPr="00526EC5" w:rsidRDefault="002036F8" w:rsidP="00D128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nsid w:val="FFFFFF88"/>
    <w:multiLevelType w:val="singleLevel"/>
    <w:tmpl w:val="087CEB4A"/>
    <w:lvl w:ilvl="0">
      <w:start w:val="1"/>
      <w:numFmt w:val="decimal"/>
      <w:pStyle w:val="Lijstnummering"/>
      <w:lvlText w:val="%1."/>
      <w:lvlJc w:val="left"/>
      <w:pPr>
        <w:tabs>
          <w:tab w:val="num" w:pos="360"/>
        </w:tabs>
        <w:ind w:left="360" w:hanging="360"/>
      </w:pPr>
    </w:lvl>
  </w:abstractNum>
  <w:abstractNum w:abstractNumId="2">
    <w:nsid w:val="008938B4"/>
    <w:multiLevelType w:val="hybridMultilevel"/>
    <w:tmpl w:val="C5BA0D7A"/>
    <w:lvl w:ilvl="0" w:tplc="D08ADDA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1A6790D"/>
    <w:multiLevelType w:val="hybridMultilevel"/>
    <w:tmpl w:val="D138DE40"/>
    <w:lvl w:ilvl="0" w:tplc="DF182A8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24D6EC0"/>
    <w:multiLevelType w:val="hybridMultilevel"/>
    <w:tmpl w:val="FC68C9A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nsid w:val="05AC51B3"/>
    <w:multiLevelType w:val="hybridMultilevel"/>
    <w:tmpl w:val="6C76489C"/>
    <w:lvl w:ilvl="0" w:tplc="B49C559A">
      <w:start w:val="1"/>
      <w:numFmt w:val="decimal"/>
      <w:pStyle w:val="Itemsnrsniveau1"/>
      <w:lvlText w:val="%1."/>
      <w:lvlJc w:val="left"/>
      <w:pPr>
        <w:ind w:left="1280" w:hanging="855"/>
      </w:pPr>
      <w:rPr>
        <w:rFonts w:hint="default"/>
      </w:rPr>
    </w:lvl>
    <w:lvl w:ilvl="1" w:tplc="54AEEA70">
      <w:start w:val="1"/>
      <w:numFmt w:val="decimal"/>
      <w:pStyle w:val="Itemsnrsniveau2"/>
      <w:lvlText w:val="%2."/>
      <w:lvlJc w:val="left"/>
      <w:pPr>
        <w:ind w:left="1505" w:hanging="360"/>
      </w:pPr>
      <w:rPr>
        <w:rFonts w:hint="default"/>
      </w:rPr>
    </w:lvl>
    <w:lvl w:ilvl="2" w:tplc="6A8CE0D8">
      <w:start w:val="1"/>
      <w:numFmt w:val="lowerRoman"/>
      <w:lvlText w:val="%3."/>
      <w:lvlJc w:val="right"/>
      <w:pPr>
        <w:ind w:left="2225" w:hanging="180"/>
      </w:pPr>
    </w:lvl>
    <w:lvl w:ilvl="3" w:tplc="7D4C63E0" w:tentative="1">
      <w:start w:val="1"/>
      <w:numFmt w:val="decimal"/>
      <w:lvlText w:val="%4."/>
      <w:lvlJc w:val="left"/>
      <w:pPr>
        <w:ind w:left="2945" w:hanging="360"/>
      </w:pPr>
    </w:lvl>
    <w:lvl w:ilvl="4" w:tplc="042ECF54" w:tentative="1">
      <w:start w:val="1"/>
      <w:numFmt w:val="lowerLetter"/>
      <w:lvlText w:val="%5."/>
      <w:lvlJc w:val="left"/>
      <w:pPr>
        <w:ind w:left="3665" w:hanging="360"/>
      </w:pPr>
    </w:lvl>
    <w:lvl w:ilvl="5" w:tplc="6F5698DC" w:tentative="1">
      <w:start w:val="1"/>
      <w:numFmt w:val="lowerRoman"/>
      <w:lvlText w:val="%6."/>
      <w:lvlJc w:val="right"/>
      <w:pPr>
        <w:ind w:left="4385" w:hanging="180"/>
      </w:pPr>
    </w:lvl>
    <w:lvl w:ilvl="6" w:tplc="CD109738" w:tentative="1">
      <w:start w:val="1"/>
      <w:numFmt w:val="decimal"/>
      <w:lvlText w:val="%7."/>
      <w:lvlJc w:val="left"/>
      <w:pPr>
        <w:ind w:left="5105" w:hanging="360"/>
      </w:pPr>
    </w:lvl>
    <w:lvl w:ilvl="7" w:tplc="B13A9560" w:tentative="1">
      <w:start w:val="1"/>
      <w:numFmt w:val="lowerLetter"/>
      <w:lvlText w:val="%8."/>
      <w:lvlJc w:val="left"/>
      <w:pPr>
        <w:ind w:left="5825" w:hanging="360"/>
      </w:pPr>
    </w:lvl>
    <w:lvl w:ilvl="8" w:tplc="0F22E6EC" w:tentative="1">
      <w:start w:val="1"/>
      <w:numFmt w:val="lowerRoman"/>
      <w:lvlText w:val="%9."/>
      <w:lvlJc w:val="right"/>
      <w:pPr>
        <w:ind w:left="6545" w:hanging="180"/>
      </w:pPr>
    </w:lvl>
  </w:abstractNum>
  <w:abstractNum w:abstractNumId="6">
    <w:nsid w:val="07020013"/>
    <w:multiLevelType w:val="hybridMultilevel"/>
    <w:tmpl w:val="03AAC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074692A"/>
    <w:multiLevelType w:val="hybridMultilevel"/>
    <w:tmpl w:val="DA186102"/>
    <w:lvl w:ilvl="0" w:tplc="F52EAC56">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07876FB"/>
    <w:multiLevelType w:val="hybridMultilevel"/>
    <w:tmpl w:val="1180B1C6"/>
    <w:lvl w:ilvl="0" w:tplc="07164C28">
      <w:start w:val="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B757C0"/>
    <w:multiLevelType w:val="hybridMultilevel"/>
    <w:tmpl w:val="39AA8F4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157B44BC"/>
    <w:multiLevelType w:val="hybridMultilevel"/>
    <w:tmpl w:val="5882D4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8AE7848"/>
    <w:multiLevelType w:val="hybridMultilevel"/>
    <w:tmpl w:val="62C0C5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14">
    <w:nsid w:val="1F8A22D3"/>
    <w:multiLevelType w:val="hybridMultilevel"/>
    <w:tmpl w:val="3FF2A546"/>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15">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8727F8"/>
    <w:multiLevelType w:val="hybridMultilevel"/>
    <w:tmpl w:val="FAEE2AE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7">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2E4143A"/>
    <w:multiLevelType w:val="hybridMultilevel"/>
    <w:tmpl w:val="C034283A"/>
    <w:lvl w:ilvl="0" w:tplc="5EE03D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9E61BD"/>
    <w:multiLevelType w:val="hybridMultilevel"/>
    <w:tmpl w:val="5B8ED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40622428"/>
    <w:multiLevelType w:val="hybridMultilevel"/>
    <w:tmpl w:val="2EC48064"/>
    <w:lvl w:ilvl="0" w:tplc="E43C4F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12D2E7A"/>
    <w:multiLevelType w:val="hybridMultilevel"/>
    <w:tmpl w:val="6270CABC"/>
    <w:lvl w:ilvl="0" w:tplc="F52EAC56">
      <w:start w:val="6"/>
      <w:numFmt w:val="bullet"/>
      <w:lvlText w:val="-"/>
      <w:lvlJc w:val="left"/>
      <w:pPr>
        <w:ind w:left="1571" w:hanging="360"/>
      </w:pPr>
      <w:rPr>
        <w:rFonts w:ascii="Arial" w:eastAsia="Times New Roman" w:hAnsi="Arial" w:cs="Aria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6">
    <w:nsid w:val="41D01926"/>
    <w:multiLevelType w:val="hybridMultilevel"/>
    <w:tmpl w:val="1A686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760019C"/>
    <w:multiLevelType w:val="hybridMultilevel"/>
    <w:tmpl w:val="A76EB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AC0260"/>
    <w:multiLevelType w:val="hybridMultilevel"/>
    <w:tmpl w:val="7598BC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B955296"/>
    <w:multiLevelType w:val="hybridMultilevel"/>
    <w:tmpl w:val="1D7A3E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33">
    <w:nsid w:val="5D4D1EE6"/>
    <w:multiLevelType w:val="hybridMultilevel"/>
    <w:tmpl w:val="CD944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4A6FA4"/>
    <w:multiLevelType w:val="hybridMultilevel"/>
    <w:tmpl w:val="65A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47776C7"/>
    <w:multiLevelType w:val="hybridMultilevel"/>
    <w:tmpl w:val="F34AF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4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4ED7751"/>
    <w:multiLevelType w:val="hybridMultilevel"/>
    <w:tmpl w:val="B2BA3906"/>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5"/>
  </w:num>
  <w:num w:numId="5">
    <w:abstractNumId w:val="22"/>
  </w:num>
  <w:num w:numId="6">
    <w:abstractNumId w:val="23"/>
    <w:lvlOverride w:ilvl="0">
      <w:startOverride w:val="1"/>
    </w:lvlOverride>
    <w:lvlOverride w:ilvl="1">
      <w:startOverride w:val="1"/>
    </w:lvlOverride>
  </w:num>
  <w:num w:numId="7">
    <w:abstractNumId w:val="34"/>
  </w:num>
  <w:num w:numId="8">
    <w:abstractNumId w:val="21"/>
  </w:num>
  <w:num w:numId="9">
    <w:abstractNumId w:val="31"/>
  </w:num>
  <w:num w:numId="10">
    <w:abstractNumId w:val="39"/>
  </w:num>
  <w:num w:numId="11">
    <w:abstractNumId w:val="28"/>
  </w:num>
  <w:num w:numId="12">
    <w:abstractNumId w:val="35"/>
  </w:num>
  <w:num w:numId="13">
    <w:abstractNumId w:val="1"/>
  </w:num>
  <w:num w:numId="14">
    <w:abstractNumId w:val="0"/>
  </w:num>
  <w:num w:numId="15">
    <w:abstractNumId w:val="32"/>
  </w:num>
  <w:num w:numId="16">
    <w:abstractNumId w:val="19"/>
  </w:num>
  <w:num w:numId="17">
    <w:abstractNumId w:val="15"/>
  </w:num>
  <w:num w:numId="18">
    <w:abstractNumId w:val="37"/>
  </w:num>
  <w:num w:numId="19">
    <w:abstractNumId w:val="40"/>
  </w:num>
  <w:num w:numId="20">
    <w:abstractNumId w:val="7"/>
  </w:num>
  <w:num w:numId="21">
    <w:abstractNumId w:val="26"/>
  </w:num>
  <w:num w:numId="22">
    <w:abstractNumId w:val="20"/>
  </w:num>
  <w:num w:numId="23">
    <w:abstractNumId w:val="8"/>
  </w:num>
  <w:num w:numId="24">
    <w:abstractNumId w:val="41"/>
  </w:num>
  <w:num w:numId="25">
    <w:abstractNumId w:val="3"/>
  </w:num>
  <w:num w:numId="26">
    <w:abstractNumId w:val="27"/>
  </w:num>
  <w:num w:numId="27">
    <w:abstractNumId w:val="2"/>
  </w:num>
  <w:num w:numId="28">
    <w:abstractNumId w:val="18"/>
  </w:num>
  <w:num w:numId="29">
    <w:abstractNumId w:val="24"/>
  </w:num>
  <w:num w:numId="30">
    <w:abstractNumId w:val="33"/>
  </w:num>
  <w:num w:numId="31">
    <w:abstractNumId w:val="38"/>
  </w:num>
  <w:num w:numId="32">
    <w:abstractNumId w:val="6"/>
  </w:num>
  <w:num w:numId="33">
    <w:abstractNumId w:val="9"/>
  </w:num>
  <w:num w:numId="34">
    <w:abstractNumId w:val="25"/>
  </w:num>
  <w:num w:numId="35">
    <w:abstractNumId w:val="4"/>
  </w:num>
  <w:num w:numId="36">
    <w:abstractNumId w:val="16"/>
  </w:num>
  <w:num w:numId="37">
    <w:abstractNumId w:val="36"/>
  </w:num>
  <w:num w:numId="38">
    <w:abstractNumId w:val="30"/>
  </w:num>
  <w:num w:numId="39">
    <w:abstractNumId w:val="11"/>
  </w:num>
  <w:num w:numId="40">
    <w:abstractNumId w:val="10"/>
  </w:num>
  <w:num w:numId="41">
    <w:abstractNumId w:val="12"/>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BE"/>
    <w:rsid w:val="0000260A"/>
    <w:rsid w:val="00002C53"/>
    <w:rsid w:val="00015D00"/>
    <w:rsid w:val="0002267A"/>
    <w:rsid w:val="00040AC1"/>
    <w:rsid w:val="00056AA0"/>
    <w:rsid w:val="00064390"/>
    <w:rsid w:val="00076D4F"/>
    <w:rsid w:val="00085801"/>
    <w:rsid w:val="000906BE"/>
    <w:rsid w:val="00091A70"/>
    <w:rsid w:val="00094F82"/>
    <w:rsid w:val="000B1708"/>
    <w:rsid w:val="000B3DAA"/>
    <w:rsid w:val="000C09A4"/>
    <w:rsid w:val="000E551B"/>
    <w:rsid w:val="000E58FF"/>
    <w:rsid w:val="000F51DB"/>
    <w:rsid w:val="001048F0"/>
    <w:rsid w:val="00123B5D"/>
    <w:rsid w:val="00124265"/>
    <w:rsid w:val="00137E4D"/>
    <w:rsid w:val="00143DAF"/>
    <w:rsid w:val="00146CF1"/>
    <w:rsid w:val="00154F7E"/>
    <w:rsid w:val="00165B2F"/>
    <w:rsid w:val="00174CA0"/>
    <w:rsid w:val="00175779"/>
    <w:rsid w:val="00181C75"/>
    <w:rsid w:val="00182002"/>
    <w:rsid w:val="00190255"/>
    <w:rsid w:val="001A19BB"/>
    <w:rsid w:val="001A7F3D"/>
    <w:rsid w:val="001B3EA2"/>
    <w:rsid w:val="001B44FC"/>
    <w:rsid w:val="001C48DB"/>
    <w:rsid w:val="001D605E"/>
    <w:rsid w:val="001D63E9"/>
    <w:rsid w:val="001D6F5A"/>
    <w:rsid w:val="001F0277"/>
    <w:rsid w:val="001F3037"/>
    <w:rsid w:val="001F4F48"/>
    <w:rsid w:val="002036F8"/>
    <w:rsid w:val="0021367E"/>
    <w:rsid w:val="0022132A"/>
    <w:rsid w:val="00227320"/>
    <w:rsid w:val="00237377"/>
    <w:rsid w:val="0024101E"/>
    <w:rsid w:val="002737C7"/>
    <w:rsid w:val="00275818"/>
    <w:rsid w:val="00290B4A"/>
    <w:rsid w:val="002A7006"/>
    <w:rsid w:val="002D2FAB"/>
    <w:rsid w:val="002D579D"/>
    <w:rsid w:val="002E5A31"/>
    <w:rsid w:val="002F5660"/>
    <w:rsid w:val="00301451"/>
    <w:rsid w:val="003312B8"/>
    <w:rsid w:val="003479EA"/>
    <w:rsid w:val="0037064E"/>
    <w:rsid w:val="00370AD9"/>
    <w:rsid w:val="00373242"/>
    <w:rsid w:val="00383B74"/>
    <w:rsid w:val="00390D82"/>
    <w:rsid w:val="003C2874"/>
    <w:rsid w:val="003E2685"/>
    <w:rsid w:val="003F2852"/>
    <w:rsid w:val="0040059C"/>
    <w:rsid w:val="00422976"/>
    <w:rsid w:val="00423259"/>
    <w:rsid w:val="004258D4"/>
    <w:rsid w:val="0043415A"/>
    <w:rsid w:val="00464077"/>
    <w:rsid w:val="00464D0E"/>
    <w:rsid w:val="004769CB"/>
    <w:rsid w:val="00482248"/>
    <w:rsid w:val="00483B8D"/>
    <w:rsid w:val="004C3DA9"/>
    <w:rsid w:val="004D2536"/>
    <w:rsid w:val="004D35B9"/>
    <w:rsid w:val="004D484E"/>
    <w:rsid w:val="004F0591"/>
    <w:rsid w:val="00516022"/>
    <w:rsid w:val="00517A1F"/>
    <w:rsid w:val="005200E5"/>
    <w:rsid w:val="005234FD"/>
    <w:rsid w:val="005315B1"/>
    <w:rsid w:val="005360E5"/>
    <w:rsid w:val="005503C7"/>
    <w:rsid w:val="00550E85"/>
    <w:rsid w:val="00562D86"/>
    <w:rsid w:val="0057422B"/>
    <w:rsid w:val="00581C43"/>
    <w:rsid w:val="005A1377"/>
    <w:rsid w:val="005B4CA2"/>
    <w:rsid w:val="005D12D5"/>
    <w:rsid w:val="005D4AB0"/>
    <w:rsid w:val="005D5FC4"/>
    <w:rsid w:val="005E2AE0"/>
    <w:rsid w:val="005F7CE6"/>
    <w:rsid w:val="00616CE6"/>
    <w:rsid w:val="00625B32"/>
    <w:rsid w:val="00637E55"/>
    <w:rsid w:val="0065638C"/>
    <w:rsid w:val="006651BF"/>
    <w:rsid w:val="0066599F"/>
    <w:rsid w:val="00681DA5"/>
    <w:rsid w:val="00693084"/>
    <w:rsid w:val="00693D6A"/>
    <w:rsid w:val="006A7E7A"/>
    <w:rsid w:val="006C2BCB"/>
    <w:rsid w:val="006C7A26"/>
    <w:rsid w:val="006E59F5"/>
    <w:rsid w:val="006F5315"/>
    <w:rsid w:val="007106F2"/>
    <w:rsid w:val="0071785F"/>
    <w:rsid w:val="00743877"/>
    <w:rsid w:val="0074469B"/>
    <w:rsid w:val="007541D3"/>
    <w:rsid w:val="007653A4"/>
    <w:rsid w:val="00784A1E"/>
    <w:rsid w:val="007970DA"/>
    <w:rsid w:val="007A1D16"/>
    <w:rsid w:val="007C0068"/>
    <w:rsid w:val="007C20E5"/>
    <w:rsid w:val="007C5E63"/>
    <w:rsid w:val="007E0783"/>
    <w:rsid w:val="007E34C9"/>
    <w:rsid w:val="007E659F"/>
    <w:rsid w:val="0081255B"/>
    <w:rsid w:val="0085403B"/>
    <w:rsid w:val="008572BE"/>
    <w:rsid w:val="00860480"/>
    <w:rsid w:val="00870781"/>
    <w:rsid w:val="0087342D"/>
    <w:rsid w:val="00884B6A"/>
    <w:rsid w:val="008861C9"/>
    <w:rsid w:val="008873FC"/>
    <w:rsid w:val="00893377"/>
    <w:rsid w:val="008A651F"/>
    <w:rsid w:val="008B127C"/>
    <w:rsid w:val="008D5415"/>
    <w:rsid w:val="008D6A63"/>
    <w:rsid w:val="008E216E"/>
    <w:rsid w:val="008F0396"/>
    <w:rsid w:val="009010BD"/>
    <w:rsid w:val="009167FB"/>
    <w:rsid w:val="009177FC"/>
    <w:rsid w:val="009414AA"/>
    <w:rsid w:val="00944DB0"/>
    <w:rsid w:val="009479A7"/>
    <w:rsid w:val="00953ACE"/>
    <w:rsid w:val="009559F6"/>
    <w:rsid w:val="00956223"/>
    <w:rsid w:val="00956561"/>
    <w:rsid w:val="00960F16"/>
    <w:rsid w:val="009755E3"/>
    <w:rsid w:val="00984331"/>
    <w:rsid w:val="00987A25"/>
    <w:rsid w:val="009910DC"/>
    <w:rsid w:val="009B04B3"/>
    <w:rsid w:val="009B3159"/>
    <w:rsid w:val="009B6B1E"/>
    <w:rsid w:val="009C3AC5"/>
    <w:rsid w:val="009D0004"/>
    <w:rsid w:val="009E25E3"/>
    <w:rsid w:val="009F4036"/>
    <w:rsid w:val="00A01FB0"/>
    <w:rsid w:val="00A038B5"/>
    <w:rsid w:val="00A05597"/>
    <w:rsid w:val="00A31CD7"/>
    <w:rsid w:val="00A31F5F"/>
    <w:rsid w:val="00A40D0C"/>
    <w:rsid w:val="00A46252"/>
    <w:rsid w:val="00A518B5"/>
    <w:rsid w:val="00A540B9"/>
    <w:rsid w:val="00A67751"/>
    <w:rsid w:val="00A735C1"/>
    <w:rsid w:val="00A74B3F"/>
    <w:rsid w:val="00A75E39"/>
    <w:rsid w:val="00A85073"/>
    <w:rsid w:val="00A8644C"/>
    <w:rsid w:val="00AA37A1"/>
    <w:rsid w:val="00AC1CC9"/>
    <w:rsid w:val="00AC5F90"/>
    <w:rsid w:val="00AD04A3"/>
    <w:rsid w:val="00AD37EA"/>
    <w:rsid w:val="00AE5CA4"/>
    <w:rsid w:val="00AE6F9C"/>
    <w:rsid w:val="00B25801"/>
    <w:rsid w:val="00B47888"/>
    <w:rsid w:val="00B632FC"/>
    <w:rsid w:val="00B6370E"/>
    <w:rsid w:val="00B72A4D"/>
    <w:rsid w:val="00B809BE"/>
    <w:rsid w:val="00B93324"/>
    <w:rsid w:val="00B96E50"/>
    <w:rsid w:val="00BB1655"/>
    <w:rsid w:val="00BB1B73"/>
    <w:rsid w:val="00BB7932"/>
    <w:rsid w:val="00BC406A"/>
    <w:rsid w:val="00BC5EC6"/>
    <w:rsid w:val="00BD230A"/>
    <w:rsid w:val="00BD6A48"/>
    <w:rsid w:val="00BF2E91"/>
    <w:rsid w:val="00C04910"/>
    <w:rsid w:val="00C05029"/>
    <w:rsid w:val="00C0572B"/>
    <w:rsid w:val="00C079B9"/>
    <w:rsid w:val="00C10F3B"/>
    <w:rsid w:val="00C125EA"/>
    <w:rsid w:val="00C33898"/>
    <w:rsid w:val="00C352DE"/>
    <w:rsid w:val="00C36E06"/>
    <w:rsid w:val="00C4655B"/>
    <w:rsid w:val="00C57EDB"/>
    <w:rsid w:val="00C6359B"/>
    <w:rsid w:val="00C64FA7"/>
    <w:rsid w:val="00C714F1"/>
    <w:rsid w:val="00C76FD9"/>
    <w:rsid w:val="00C86E44"/>
    <w:rsid w:val="00CA24D8"/>
    <w:rsid w:val="00CA2E97"/>
    <w:rsid w:val="00CA6DCD"/>
    <w:rsid w:val="00CB181B"/>
    <w:rsid w:val="00CB69A4"/>
    <w:rsid w:val="00CC05F9"/>
    <w:rsid w:val="00CC373A"/>
    <w:rsid w:val="00CD0FB8"/>
    <w:rsid w:val="00CE749B"/>
    <w:rsid w:val="00CF3DBD"/>
    <w:rsid w:val="00CF44F1"/>
    <w:rsid w:val="00CF7849"/>
    <w:rsid w:val="00D06ADA"/>
    <w:rsid w:val="00D128AB"/>
    <w:rsid w:val="00D27CD1"/>
    <w:rsid w:val="00D408CB"/>
    <w:rsid w:val="00D54E4B"/>
    <w:rsid w:val="00D90A5B"/>
    <w:rsid w:val="00D931E3"/>
    <w:rsid w:val="00D93231"/>
    <w:rsid w:val="00D95869"/>
    <w:rsid w:val="00DC12A5"/>
    <w:rsid w:val="00DD22ED"/>
    <w:rsid w:val="00DD40F5"/>
    <w:rsid w:val="00DE71B0"/>
    <w:rsid w:val="00DF4EA9"/>
    <w:rsid w:val="00E0753E"/>
    <w:rsid w:val="00E13B7E"/>
    <w:rsid w:val="00E14CA7"/>
    <w:rsid w:val="00E166B8"/>
    <w:rsid w:val="00E3471A"/>
    <w:rsid w:val="00E4372D"/>
    <w:rsid w:val="00E4765B"/>
    <w:rsid w:val="00E64472"/>
    <w:rsid w:val="00E67830"/>
    <w:rsid w:val="00E73F51"/>
    <w:rsid w:val="00E75A9B"/>
    <w:rsid w:val="00EC5AF6"/>
    <w:rsid w:val="00ED0B8F"/>
    <w:rsid w:val="00ED3D5D"/>
    <w:rsid w:val="00ED534F"/>
    <w:rsid w:val="00EF5252"/>
    <w:rsid w:val="00EF6DDE"/>
    <w:rsid w:val="00F14069"/>
    <w:rsid w:val="00F17C39"/>
    <w:rsid w:val="00F26E94"/>
    <w:rsid w:val="00F35C7C"/>
    <w:rsid w:val="00F44104"/>
    <w:rsid w:val="00F535B2"/>
    <w:rsid w:val="00F568F2"/>
    <w:rsid w:val="00F638D2"/>
    <w:rsid w:val="00F6597E"/>
    <w:rsid w:val="00F7059C"/>
    <w:rsid w:val="00F70BDC"/>
    <w:rsid w:val="00F733D2"/>
    <w:rsid w:val="00F75522"/>
    <w:rsid w:val="00FB5DAD"/>
    <w:rsid w:val="00FD260D"/>
    <w:rsid w:val="00FE3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8572BE"/>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link w:val="GeenafstandChar"/>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unhideWhenUsed/>
    <w:rsid w:val="00CE441D"/>
    <w:pPr>
      <w:tabs>
        <w:tab w:val="center" w:pos="4536"/>
        <w:tab w:val="right" w:pos="9072"/>
      </w:tabs>
    </w:pPr>
  </w:style>
  <w:style w:type="character" w:customStyle="1" w:styleId="KoptekstChar">
    <w:name w:val="Koptekst Char"/>
    <w:basedOn w:val="Standaardalinea-lettertype"/>
    <w:link w:val="Koptekst"/>
    <w:uiPriority w:val="99"/>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DA5"/>
    <w:pPr>
      <w:autoSpaceDE w:val="0"/>
      <w:autoSpaceDN w:val="0"/>
      <w:adjustRightInd w:val="0"/>
      <w:spacing w:after="0" w:line="240" w:lineRule="auto"/>
    </w:pPr>
    <w:rPr>
      <w:rFonts w:ascii="InterFace" w:hAnsi="InterFace" w:cs="InterFace"/>
      <w:color w:val="000000"/>
      <w:sz w:val="24"/>
      <w:szCs w:val="24"/>
      <w:lang w:val="nl-NL" w:bidi="ar-SA"/>
    </w:rPr>
  </w:style>
  <w:style w:type="character" w:customStyle="1" w:styleId="GeenafstandChar">
    <w:name w:val="Geen afstand Char"/>
    <w:basedOn w:val="Standaardalinea-lettertype"/>
    <w:link w:val="Geenafstand"/>
    <w:uiPriority w:val="1"/>
    <w:rsid w:val="001A7F3D"/>
    <w:rPr>
      <w:rFonts w:ascii="Arial" w:hAnsi="Arial"/>
      <w:sz w:val="20"/>
      <w:szCs w:val="32"/>
      <w:lang w:val="nl-NL" w:eastAsia="nl-NL" w:bidi="ar-SA"/>
    </w:rPr>
  </w:style>
  <w:style w:type="paragraph" w:styleId="Voetnoottekst">
    <w:name w:val="footnote text"/>
    <w:basedOn w:val="Standaard"/>
    <w:link w:val="VoetnoottekstChar"/>
    <w:uiPriority w:val="99"/>
    <w:semiHidden/>
    <w:unhideWhenUsed/>
    <w:rsid w:val="00E4372D"/>
  </w:style>
  <w:style w:type="character" w:customStyle="1" w:styleId="VoetnoottekstChar">
    <w:name w:val="Voetnoottekst Char"/>
    <w:basedOn w:val="Standaardalinea-lettertype"/>
    <w:link w:val="Voetnoottekst"/>
    <w:uiPriority w:val="99"/>
    <w:semiHidden/>
    <w:rsid w:val="00E4372D"/>
    <w:rPr>
      <w:rFonts w:ascii="Arial" w:hAnsi="Arial"/>
      <w:sz w:val="20"/>
      <w:szCs w:val="20"/>
      <w:lang w:val="nl-NL" w:eastAsia="nl-NL" w:bidi="ar-SA"/>
    </w:rPr>
  </w:style>
  <w:style w:type="character" w:styleId="Voetnootmarkering">
    <w:name w:val="footnote reference"/>
    <w:basedOn w:val="Standaardalinea-lettertype"/>
    <w:uiPriority w:val="99"/>
    <w:semiHidden/>
    <w:unhideWhenUsed/>
    <w:rsid w:val="00E4372D"/>
    <w:rPr>
      <w:vertAlign w:val="superscript"/>
    </w:rPr>
  </w:style>
  <w:style w:type="character" w:styleId="Verwijzingopmerking">
    <w:name w:val="annotation reference"/>
    <w:basedOn w:val="Standaardalinea-lettertype"/>
    <w:uiPriority w:val="99"/>
    <w:semiHidden/>
    <w:unhideWhenUsed/>
    <w:rsid w:val="0085403B"/>
    <w:rPr>
      <w:sz w:val="16"/>
      <w:szCs w:val="16"/>
    </w:rPr>
  </w:style>
  <w:style w:type="paragraph" w:styleId="Tekstopmerking">
    <w:name w:val="annotation text"/>
    <w:basedOn w:val="Standaard"/>
    <w:link w:val="TekstopmerkingChar"/>
    <w:uiPriority w:val="99"/>
    <w:semiHidden/>
    <w:unhideWhenUsed/>
    <w:rsid w:val="0085403B"/>
  </w:style>
  <w:style w:type="character" w:customStyle="1" w:styleId="TekstopmerkingChar">
    <w:name w:val="Tekst opmerking Char"/>
    <w:basedOn w:val="Standaardalinea-lettertype"/>
    <w:link w:val="Tekstopmerking"/>
    <w:uiPriority w:val="99"/>
    <w:semiHidden/>
    <w:rsid w:val="0085403B"/>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85403B"/>
    <w:rPr>
      <w:b/>
      <w:bCs/>
    </w:rPr>
  </w:style>
  <w:style w:type="character" w:customStyle="1" w:styleId="OnderwerpvanopmerkingChar">
    <w:name w:val="Onderwerp van opmerking Char"/>
    <w:basedOn w:val="TekstopmerkingChar"/>
    <w:link w:val="Onderwerpvanopmerking"/>
    <w:uiPriority w:val="99"/>
    <w:semiHidden/>
    <w:rsid w:val="0085403B"/>
    <w:rPr>
      <w:rFonts w:ascii="Arial" w:hAnsi="Arial"/>
      <w:b/>
      <w:bCs/>
      <w:sz w:val="20"/>
      <w:szCs w:val="20"/>
      <w:lang w:val="nl-NL" w:eastAsia="nl-NL" w:bidi="ar-SA"/>
    </w:rPr>
  </w:style>
  <w:style w:type="paragraph" w:customStyle="1" w:styleId="standard">
    <w:name w:val="standard"/>
    <w:basedOn w:val="Standaard"/>
    <w:rsid w:val="00E64472"/>
    <w:pPr>
      <w:spacing w:after="24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8572BE"/>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link w:val="GeenafstandChar"/>
    <w:uiPriority w:val="1"/>
    <w:qFormat/>
    <w:rsid w:val="0094505C"/>
    <w:rPr>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unhideWhenUsed/>
    <w:rsid w:val="00CE441D"/>
    <w:pPr>
      <w:tabs>
        <w:tab w:val="center" w:pos="4536"/>
        <w:tab w:val="right" w:pos="9072"/>
      </w:tabs>
    </w:pPr>
  </w:style>
  <w:style w:type="character" w:customStyle="1" w:styleId="KoptekstChar">
    <w:name w:val="Koptekst Char"/>
    <w:basedOn w:val="Standaardalinea-lettertype"/>
    <w:link w:val="Koptekst"/>
    <w:uiPriority w:val="99"/>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DA5"/>
    <w:pPr>
      <w:autoSpaceDE w:val="0"/>
      <w:autoSpaceDN w:val="0"/>
      <w:adjustRightInd w:val="0"/>
      <w:spacing w:after="0" w:line="240" w:lineRule="auto"/>
    </w:pPr>
    <w:rPr>
      <w:rFonts w:ascii="InterFace" w:hAnsi="InterFace" w:cs="InterFace"/>
      <w:color w:val="000000"/>
      <w:sz w:val="24"/>
      <w:szCs w:val="24"/>
      <w:lang w:val="nl-NL" w:bidi="ar-SA"/>
    </w:rPr>
  </w:style>
  <w:style w:type="character" w:customStyle="1" w:styleId="GeenafstandChar">
    <w:name w:val="Geen afstand Char"/>
    <w:basedOn w:val="Standaardalinea-lettertype"/>
    <w:link w:val="Geenafstand"/>
    <w:uiPriority w:val="1"/>
    <w:rsid w:val="001A7F3D"/>
    <w:rPr>
      <w:rFonts w:ascii="Arial" w:hAnsi="Arial"/>
      <w:sz w:val="20"/>
      <w:szCs w:val="32"/>
      <w:lang w:val="nl-NL" w:eastAsia="nl-NL" w:bidi="ar-SA"/>
    </w:rPr>
  </w:style>
  <w:style w:type="paragraph" w:styleId="Voetnoottekst">
    <w:name w:val="footnote text"/>
    <w:basedOn w:val="Standaard"/>
    <w:link w:val="VoetnoottekstChar"/>
    <w:uiPriority w:val="99"/>
    <w:semiHidden/>
    <w:unhideWhenUsed/>
    <w:rsid w:val="00E4372D"/>
  </w:style>
  <w:style w:type="character" w:customStyle="1" w:styleId="VoetnoottekstChar">
    <w:name w:val="Voetnoottekst Char"/>
    <w:basedOn w:val="Standaardalinea-lettertype"/>
    <w:link w:val="Voetnoottekst"/>
    <w:uiPriority w:val="99"/>
    <w:semiHidden/>
    <w:rsid w:val="00E4372D"/>
    <w:rPr>
      <w:rFonts w:ascii="Arial" w:hAnsi="Arial"/>
      <w:sz w:val="20"/>
      <w:szCs w:val="20"/>
      <w:lang w:val="nl-NL" w:eastAsia="nl-NL" w:bidi="ar-SA"/>
    </w:rPr>
  </w:style>
  <w:style w:type="character" w:styleId="Voetnootmarkering">
    <w:name w:val="footnote reference"/>
    <w:basedOn w:val="Standaardalinea-lettertype"/>
    <w:uiPriority w:val="99"/>
    <w:semiHidden/>
    <w:unhideWhenUsed/>
    <w:rsid w:val="00E4372D"/>
    <w:rPr>
      <w:vertAlign w:val="superscript"/>
    </w:rPr>
  </w:style>
  <w:style w:type="character" w:styleId="Verwijzingopmerking">
    <w:name w:val="annotation reference"/>
    <w:basedOn w:val="Standaardalinea-lettertype"/>
    <w:uiPriority w:val="99"/>
    <w:semiHidden/>
    <w:unhideWhenUsed/>
    <w:rsid w:val="0085403B"/>
    <w:rPr>
      <w:sz w:val="16"/>
      <w:szCs w:val="16"/>
    </w:rPr>
  </w:style>
  <w:style w:type="paragraph" w:styleId="Tekstopmerking">
    <w:name w:val="annotation text"/>
    <w:basedOn w:val="Standaard"/>
    <w:link w:val="TekstopmerkingChar"/>
    <w:uiPriority w:val="99"/>
    <w:semiHidden/>
    <w:unhideWhenUsed/>
    <w:rsid w:val="0085403B"/>
  </w:style>
  <w:style w:type="character" w:customStyle="1" w:styleId="TekstopmerkingChar">
    <w:name w:val="Tekst opmerking Char"/>
    <w:basedOn w:val="Standaardalinea-lettertype"/>
    <w:link w:val="Tekstopmerking"/>
    <w:uiPriority w:val="99"/>
    <w:semiHidden/>
    <w:rsid w:val="0085403B"/>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85403B"/>
    <w:rPr>
      <w:b/>
      <w:bCs/>
    </w:rPr>
  </w:style>
  <w:style w:type="character" w:customStyle="1" w:styleId="OnderwerpvanopmerkingChar">
    <w:name w:val="Onderwerp van opmerking Char"/>
    <w:basedOn w:val="TekstopmerkingChar"/>
    <w:link w:val="Onderwerpvanopmerking"/>
    <w:uiPriority w:val="99"/>
    <w:semiHidden/>
    <w:rsid w:val="0085403B"/>
    <w:rPr>
      <w:rFonts w:ascii="Arial" w:hAnsi="Arial"/>
      <w:b/>
      <w:bCs/>
      <w:sz w:val="20"/>
      <w:szCs w:val="20"/>
      <w:lang w:val="nl-NL" w:eastAsia="nl-NL" w:bidi="ar-SA"/>
    </w:rPr>
  </w:style>
  <w:style w:type="paragraph" w:customStyle="1" w:styleId="standard">
    <w:name w:val="standard"/>
    <w:basedOn w:val="Standaard"/>
    <w:rsid w:val="00E64472"/>
    <w:pPr>
      <w:spacing w:after="24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1550">
      <w:bodyDiv w:val="1"/>
      <w:marLeft w:val="0"/>
      <w:marRight w:val="0"/>
      <w:marTop w:val="0"/>
      <w:marBottom w:val="0"/>
      <w:divBdr>
        <w:top w:val="none" w:sz="0" w:space="0" w:color="auto"/>
        <w:left w:val="none" w:sz="0" w:space="0" w:color="auto"/>
        <w:bottom w:val="none" w:sz="0" w:space="0" w:color="auto"/>
        <w:right w:val="none" w:sz="0" w:space="0" w:color="auto"/>
      </w:divBdr>
    </w:div>
    <w:div w:id="116073870">
      <w:bodyDiv w:val="1"/>
      <w:marLeft w:val="0"/>
      <w:marRight w:val="0"/>
      <w:marTop w:val="0"/>
      <w:marBottom w:val="0"/>
      <w:divBdr>
        <w:top w:val="none" w:sz="0" w:space="0" w:color="auto"/>
        <w:left w:val="none" w:sz="0" w:space="0" w:color="auto"/>
        <w:bottom w:val="none" w:sz="0" w:space="0" w:color="auto"/>
        <w:right w:val="none" w:sz="0" w:space="0" w:color="auto"/>
      </w:divBdr>
      <w:divsChild>
        <w:div w:id="274295859">
          <w:marLeft w:val="0"/>
          <w:marRight w:val="0"/>
          <w:marTop w:val="150"/>
          <w:marBottom w:val="150"/>
          <w:divBdr>
            <w:top w:val="none" w:sz="0" w:space="0" w:color="auto"/>
            <w:left w:val="none" w:sz="0" w:space="0" w:color="auto"/>
            <w:bottom w:val="none" w:sz="0" w:space="0" w:color="auto"/>
            <w:right w:val="none" w:sz="0" w:space="0" w:color="auto"/>
          </w:divBdr>
          <w:divsChild>
            <w:div w:id="1518695656">
              <w:marLeft w:val="0"/>
              <w:marRight w:val="0"/>
              <w:marTop w:val="0"/>
              <w:marBottom w:val="0"/>
              <w:divBdr>
                <w:top w:val="none" w:sz="0" w:space="0" w:color="auto"/>
                <w:left w:val="none" w:sz="0" w:space="0" w:color="auto"/>
                <w:bottom w:val="none" w:sz="0" w:space="0" w:color="auto"/>
                <w:right w:val="none" w:sz="0" w:space="0" w:color="auto"/>
              </w:divBdr>
              <w:divsChild>
                <w:div w:id="1506630541">
                  <w:marLeft w:val="0"/>
                  <w:marRight w:val="0"/>
                  <w:marTop w:val="0"/>
                  <w:marBottom w:val="0"/>
                  <w:divBdr>
                    <w:top w:val="none" w:sz="0" w:space="0" w:color="auto"/>
                    <w:left w:val="none" w:sz="0" w:space="0" w:color="auto"/>
                    <w:bottom w:val="none" w:sz="0" w:space="0" w:color="auto"/>
                    <w:right w:val="none" w:sz="0" w:space="0" w:color="auto"/>
                  </w:divBdr>
                  <w:divsChild>
                    <w:div w:id="136529380">
                      <w:marLeft w:val="0"/>
                      <w:marRight w:val="0"/>
                      <w:marTop w:val="0"/>
                      <w:marBottom w:val="0"/>
                      <w:divBdr>
                        <w:top w:val="none" w:sz="0" w:space="0" w:color="auto"/>
                        <w:left w:val="none" w:sz="0" w:space="0" w:color="auto"/>
                        <w:bottom w:val="none" w:sz="0" w:space="0" w:color="auto"/>
                        <w:right w:val="none" w:sz="0" w:space="0" w:color="auto"/>
                      </w:divBdr>
                      <w:divsChild>
                        <w:div w:id="728528748">
                          <w:marLeft w:val="150"/>
                          <w:marRight w:val="150"/>
                          <w:marTop w:val="0"/>
                          <w:marBottom w:val="0"/>
                          <w:divBdr>
                            <w:top w:val="none" w:sz="0" w:space="0" w:color="auto"/>
                            <w:left w:val="none" w:sz="0" w:space="0" w:color="auto"/>
                            <w:bottom w:val="none" w:sz="0" w:space="0" w:color="auto"/>
                            <w:right w:val="none" w:sz="0" w:space="0" w:color="auto"/>
                          </w:divBdr>
                          <w:divsChild>
                            <w:div w:id="654189345">
                              <w:marLeft w:val="0"/>
                              <w:marRight w:val="0"/>
                              <w:marTop w:val="0"/>
                              <w:marBottom w:val="0"/>
                              <w:divBdr>
                                <w:top w:val="none" w:sz="0" w:space="0" w:color="auto"/>
                                <w:left w:val="none" w:sz="0" w:space="0" w:color="auto"/>
                                <w:bottom w:val="none" w:sz="0" w:space="0" w:color="auto"/>
                                <w:right w:val="none" w:sz="0" w:space="0" w:color="auto"/>
                              </w:divBdr>
                              <w:divsChild>
                                <w:div w:id="949438997">
                                  <w:marLeft w:val="0"/>
                                  <w:marRight w:val="0"/>
                                  <w:marTop w:val="0"/>
                                  <w:marBottom w:val="0"/>
                                  <w:divBdr>
                                    <w:top w:val="none" w:sz="0" w:space="0" w:color="auto"/>
                                    <w:left w:val="none" w:sz="0" w:space="0" w:color="auto"/>
                                    <w:bottom w:val="none" w:sz="0" w:space="0" w:color="auto"/>
                                    <w:right w:val="none" w:sz="0" w:space="0" w:color="auto"/>
                                  </w:divBdr>
                                  <w:divsChild>
                                    <w:div w:id="17858097">
                                      <w:marLeft w:val="0"/>
                                      <w:marRight w:val="0"/>
                                      <w:marTop w:val="0"/>
                                      <w:marBottom w:val="0"/>
                                      <w:divBdr>
                                        <w:top w:val="none" w:sz="0" w:space="0" w:color="CCCCCC"/>
                                        <w:left w:val="none" w:sz="0" w:space="0" w:color="CCCCCC"/>
                                        <w:bottom w:val="none" w:sz="0" w:space="0" w:color="CCCCCC"/>
                                        <w:right w:val="none" w:sz="0" w:space="0" w:color="CCCCCC"/>
                                      </w:divBdr>
                                    </w:div>
                                  </w:divsChild>
                                </w:div>
                              </w:divsChild>
                            </w:div>
                          </w:divsChild>
                        </w:div>
                      </w:divsChild>
                    </w:div>
                  </w:divsChild>
                </w:div>
              </w:divsChild>
            </w:div>
          </w:divsChild>
        </w:div>
      </w:divsChild>
    </w:div>
    <w:div w:id="221645873">
      <w:bodyDiv w:val="1"/>
      <w:marLeft w:val="0"/>
      <w:marRight w:val="0"/>
      <w:marTop w:val="0"/>
      <w:marBottom w:val="0"/>
      <w:divBdr>
        <w:top w:val="none" w:sz="0" w:space="0" w:color="auto"/>
        <w:left w:val="none" w:sz="0" w:space="0" w:color="auto"/>
        <w:bottom w:val="none" w:sz="0" w:space="0" w:color="auto"/>
        <w:right w:val="none" w:sz="0" w:space="0" w:color="auto"/>
      </w:divBdr>
    </w:div>
    <w:div w:id="420178058">
      <w:bodyDiv w:val="1"/>
      <w:marLeft w:val="0"/>
      <w:marRight w:val="0"/>
      <w:marTop w:val="0"/>
      <w:marBottom w:val="0"/>
      <w:divBdr>
        <w:top w:val="none" w:sz="0" w:space="0" w:color="auto"/>
        <w:left w:val="none" w:sz="0" w:space="0" w:color="auto"/>
        <w:bottom w:val="none" w:sz="0" w:space="0" w:color="auto"/>
        <w:right w:val="none" w:sz="0" w:space="0" w:color="auto"/>
      </w:divBdr>
    </w:div>
    <w:div w:id="526255997">
      <w:bodyDiv w:val="1"/>
      <w:marLeft w:val="0"/>
      <w:marRight w:val="0"/>
      <w:marTop w:val="0"/>
      <w:marBottom w:val="0"/>
      <w:divBdr>
        <w:top w:val="none" w:sz="0" w:space="0" w:color="auto"/>
        <w:left w:val="none" w:sz="0" w:space="0" w:color="auto"/>
        <w:bottom w:val="none" w:sz="0" w:space="0" w:color="auto"/>
        <w:right w:val="none" w:sz="0" w:space="0" w:color="auto"/>
      </w:divBdr>
    </w:div>
    <w:div w:id="860826466">
      <w:bodyDiv w:val="1"/>
      <w:marLeft w:val="0"/>
      <w:marRight w:val="0"/>
      <w:marTop w:val="0"/>
      <w:marBottom w:val="0"/>
      <w:divBdr>
        <w:top w:val="none" w:sz="0" w:space="0" w:color="auto"/>
        <w:left w:val="none" w:sz="0" w:space="0" w:color="auto"/>
        <w:bottom w:val="none" w:sz="0" w:space="0" w:color="auto"/>
        <w:right w:val="none" w:sz="0" w:space="0" w:color="auto"/>
      </w:divBdr>
    </w:div>
    <w:div w:id="1557277410">
      <w:bodyDiv w:val="1"/>
      <w:marLeft w:val="0"/>
      <w:marRight w:val="0"/>
      <w:marTop w:val="0"/>
      <w:marBottom w:val="0"/>
      <w:divBdr>
        <w:top w:val="none" w:sz="0" w:space="0" w:color="auto"/>
        <w:left w:val="none" w:sz="0" w:space="0" w:color="auto"/>
        <w:bottom w:val="none" w:sz="0" w:space="0" w:color="auto"/>
        <w:right w:val="none" w:sz="0" w:space="0" w:color="auto"/>
      </w:divBdr>
    </w:div>
    <w:div w:id="1921214140">
      <w:bodyDiv w:val="1"/>
      <w:marLeft w:val="0"/>
      <w:marRight w:val="0"/>
      <w:marTop w:val="0"/>
      <w:marBottom w:val="0"/>
      <w:divBdr>
        <w:top w:val="none" w:sz="0" w:space="0" w:color="auto"/>
        <w:left w:val="none" w:sz="0" w:space="0" w:color="auto"/>
        <w:bottom w:val="none" w:sz="0" w:space="0" w:color="auto"/>
        <w:right w:val="none" w:sz="0" w:space="0" w:color="auto"/>
      </w:divBdr>
    </w:div>
    <w:div w:id="1930460315">
      <w:bodyDiv w:val="1"/>
      <w:marLeft w:val="0"/>
      <w:marRight w:val="0"/>
      <w:marTop w:val="0"/>
      <w:marBottom w:val="0"/>
      <w:divBdr>
        <w:top w:val="none" w:sz="0" w:space="0" w:color="auto"/>
        <w:left w:val="none" w:sz="0" w:space="0" w:color="auto"/>
        <w:bottom w:val="none" w:sz="0" w:space="0" w:color="auto"/>
        <w:right w:val="none" w:sz="0" w:space="0" w:color="auto"/>
      </w:divBdr>
    </w:div>
    <w:div w:id="2086950873">
      <w:bodyDiv w:val="1"/>
      <w:marLeft w:val="0"/>
      <w:marRight w:val="0"/>
      <w:marTop w:val="0"/>
      <w:marBottom w:val="0"/>
      <w:divBdr>
        <w:top w:val="none" w:sz="0" w:space="0" w:color="auto"/>
        <w:left w:val="none" w:sz="0" w:space="0" w:color="auto"/>
        <w:bottom w:val="none" w:sz="0" w:space="0" w:color="auto"/>
        <w:right w:val="none" w:sz="0" w:space="0" w:color="auto"/>
      </w:divBdr>
      <w:divsChild>
        <w:div w:id="379020645">
          <w:marLeft w:val="0"/>
          <w:marRight w:val="0"/>
          <w:marTop w:val="150"/>
          <w:marBottom w:val="150"/>
          <w:divBdr>
            <w:top w:val="none" w:sz="0" w:space="0" w:color="auto"/>
            <w:left w:val="none" w:sz="0" w:space="0" w:color="auto"/>
            <w:bottom w:val="none" w:sz="0" w:space="0" w:color="auto"/>
            <w:right w:val="none" w:sz="0" w:space="0" w:color="auto"/>
          </w:divBdr>
          <w:divsChild>
            <w:div w:id="476385375">
              <w:marLeft w:val="0"/>
              <w:marRight w:val="0"/>
              <w:marTop w:val="0"/>
              <w:marBottom w:val="0"/>
              <w:divBdr>
                <w:top w:val="none" w:sz="0" w:space="0" w:color="auto"/>
                <w:left w:val="none" w:sz="0" w:space="0" w:color="auto"/>
                <w:bottom w:val="none" w:sz="0" w:space="0" w:color="auto"/>
                <w:right w:val="none" w:sz="0" w:space="0" w:color="auto"/>
              </w:divBdr>
              <w:divsChild>
                <w:div w:id="1896699407">
                  <w:marLeft w:val="0"/>
                  <w:marRight w:val="0"/>
                  <w:marTop w:val="0"/>
                  <w:marBottom w:val="0"/>
                  <w:divBdr>
                    <w:top w:val="none" w:sz="0" w:space="0" w:color="auto"/>
                    <w:left w:val="none" w:sz="0" w:space="0" w:color="auto"/>
                    <w:bottom w:val="none" w:sz="0" w:space="0" w:color="auto"/>
                    <w:right w:val="none" w:sz="0" w:space="0" w:color="auto"/>
                  </w:divBdr>
                  <w:divsChild>
                    <w:div w:id="1367099163">
                      <w:marLeft w:val="0"/>
                      <w:marRight w:val="0"/>
                      <w:marTop w:val="0"/>
                      <w:marBottom w:val="0"/>
                      <w:divBdr>
                        <w:top w:val="none" w:sz="0" w:space="0" w:color="auto"/>
                        <w:left w:val="none" w:sz="0" w:space="0" w:color="auto"/>
                        <w:bottom w:val="none" w:sz="0" w:space="0" w:color="auto"/>
                        <w:right w:val="none" w:sz="0" w:space="0" w:color="auto"/>
                      </w:divBdr>
                      <w:divsChild>
                        <w:div w:id="934051324">
                          <w:marLeft w:val="150"/>
                          <w:marRight w:val="150"/>
                          <w:marTop w:val="0"/>
                          <w:marBottom w:val="0"/>
                          <w:divBdr>
                            <w:top w:val="none" w:sz="0" w:space="0" w:color="auto"/>
                            <w:left w:val="none" w:sz="0" w:space="0" w:color="auto"/>
                            <w:bottom w:val="none" w:sz="0" w:space="0" w:color="auto"/>
                            <w:right w:val="none" w:sz="0" w:space="0" w:color="auto"/>
                          </w:divBdr>
                          <w:divsChild>
                            <w:div w:id="1084568244">
                              <w:marLeft w:val="0"/>
                              <w:marRight w:val="0"/>
                              <w:marTop w:val="0"/>
                              <w:marBottom w:val="0"/>
                              <w:divBdr>
                                <w:top w:val="none" w:sz="0" w:space="0" w:color="auto"/>
                                <w:left w:val="none" w:sz="0" w:space="0" w:color="auto"/>
                                <w:bottom w:val="none" w:sz="0" w:space="0" w:color="auto"/>
                                <w:right w:val="none" w:sz="0" w:space="0" w:color="auto"/>
                              </w:divBdr>
                              <w:divsChild>
                                <w:div w:id="1184826293">
                                  <w:marLeft w:val="0"/>
                                  <w:marRight w:val="0"/>
                                  <w:marTop w:val="0"/>
                                  <w:marBottom w:val="0"/>
                                  <w:divBdr>
                                    <w:top w:val="none" w:sz="0" w:space="0" w:color="auto"/>
                                    <w:left w:val="none" w:sz="0" w:space="0" w:color="auto"/>
                                    <w:bottom w:val="none" w:sz="0" w:space="0" w:color="auto"/>
                                    <w:right w:val="none" w:sz="0" w:space="0" w:color="auto"/>
                                  </w:divBdr>
                                  <w:divsChild>
                                    <w:div w:id="645817816">
                                      <w:marLeft w:val="0"/>
                                      <w:marRight w:val="0"/>
                                      <w:marTop w:val="0"/>
                                      <w:marBottom w:val="0"/>
                                      <w:divBdr>
                                        <w:top w:val="none" w:sz="0" w:space="0" w:color="CCCCCC"/>
                                        <w:left w:val="none" w:sz="0" w:space="0" w:color="CCCCCC"/>
                                        <w:bottom w:val="none" w:sz="0" w:space="0" w:color="CCCCCC"/>
                                        <w:right w:val="none" w:sz="0" w:space="0"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iler1.gouda.lok\home\192202\Office\OutlookTemp\Taart%20veilighe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[Taart veiligheid.xlsx]STZ en VNW!Draaitabel1</c:name>
    <c:fmtId val="-1"/>
  </c:pivotSource>
  <c:chart>
    <c:autoTitleDeleted val="1"/>
    <c:pivotFmts>
      <c:pivotFmt>
        <c:idx val="0"/>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spPr>
          <a:solidFill>
            <a:schemeClr val="accent1"/>
          </a:solidFill>
          <a:ln>
            <a:noFill/>
          </a:ln>
          <a:effectLst>
            <a:outerShdw blurRad="254000" sx="102000" sy="102000" algn="ctr" rotWithShape="0">
              <a:prstClr val="black">
                <a:alpha val="20000"/>
              </a:prstClr>
            </a:outerShdw>
          </a:effectLst>
          <a:sp3d/>
        </c:spPr>
      </c:pivotFmt>
      <c:pivotFmt>
        <c:idx val="20"/>
        <c:spPr>
          <a:solidFill>
            <a:schemeClr val="accent1"/>
          </a:solidFill>
          <a:ln>
            <a:noFill/>
          </a:ln>
          <a:effectLst>
            <a:outerShdw blurRad="254000" sx="102000" sy="102000" algn="ctr" rotWithShape="0">
              <a:prstClr val="black">
                <a:alpha val="20000"/>
              </a:prstClr>
            </a:outerShdw>
          </a:effectLst>
          <a:sp3d/>
        </c:spPr>
      </c:pivotFmt>
      <c:pivotFmt>
        <c:idx val="21"/>
        <c:spPr>
          <a:solidFill>
            <a:schemeClr val="accent1"/>
          </a:solidFill>
          <a:ln>
            <a:noFill/>
          </a:ln>
          <a:effectLst>
            <a:outerShdw blurRad="254000" sx="102000" sy="102000" algn="ctr" rotWithShape="0">
              <a:prstClr val="black">
                <a:alpha val="20000"/>
              </a:prstClr>
            </a:outerShdw>
          </a:effectLst>
          <a:sp3d/>
        </c:spPr>
      </c:pivotFmt>
      <c:pivotFmt>
        <c:idx val="22"/>
        <c:spPr>
          <a:solidFill>
            <a:schemeClr val="accent1"/>
          </a:solidFill>
          <a:ln>
            <a:noFill/>
          </a:ln>
          <a:effectLst>
            <a:outerShdw blurRad="254000" sx="102000" sy="102000" algn="ctr" rotWithShape="0">
              <a:prstClr val="black">
                <a:alpha val="20000"/>
              </a:prstClr>
            </a:outerShdw>
          </a:effectLst>
          <a:sp3d/>
        </c:spPr>
      </c:pivotFmt>
      <c:pivotFmt>
        <c:idx val="23"/>
        <c:spPr>
          <a:solidFill>
            <a:schemeClr val="accent1"/>
          </a:solidFill>
          <a:ln>
            <a:noFill/>
          </a:ln>
          <a:effectLst>
            <a:outerShdw blurRad="254000" sx="102000" sy="102000" algn="ctr" rotWithShape="0">
              <a:prstClr val="black">
                <a:alpha val="20000"/>
              </a:prstClr>
            </a:outerShdw>
          </a:effectLst>
          <a:sp3d/>
        </c:spPr>
      </c:pivotFmt>
      <c:pivotFmt>
        <c:idx val="24"/>
        <c:spPr>
          <a:solidFill>
            <a:schemeClr val="accent1"/>
          </a:solidFill>
          <a:ln>
            <a:noFill/>
          </a:ln>
          <a:effectLst>
            <a:outerShdw blurRad="254000" sx="102000" sy="102000" algn="ctr" rotWithShape="0">
              <a:prstClr val="black">
                <a:alpha val="20000"/>
              </a:prstClr>
            </a:outerShdw>
          </a:effectLst>
          <a:sp3d/>
        </c:spPr>
      </c:pivotFmt>
      <c:pivotFmt>
        <c:idx val="25"/>
        <c:spPr>
          <a:solidFill>
            <a:schemeClr val="accent1"/>
          </a:solidFill>
          <a:ln>
            <a:noFill/>
          </a:ln>
          <a:effectLst>
            <a:outerShdw blurRad="254000" sx="102000" sy="102000" algn="ctr" rotWithShape="0">
              <a:prstClr val="black">
                <a:alpha val="20000"/>
              </a:prstClr>
            </a:outerShdw>
          </a:effectLst>
          <a:sp3d/>
        </c:spPr>
      </c:pivotFmt>
      <c:pivotFmt>
        <c:idx val="26"/>
        <c:spPr>
          <a:solidFill>
            <a:schemeClr val="accent1"/>
          </a:solidFill>
          <a:ln>
            <a:noFill/>
          </a:ln>
          <a:effectLst>
            <a:outerShdw blurRad="254000" sx="102000" sy="102000" algn="ctr" rotWithShape="0">
              <a:prstClr val="black">
                <a:alpha val="20000"/>
              </a:prstClr>
            </a:outerShdw>
          </a:effectLst>
          <a:sp3d/>
        </c:spPr>
      </c:pivotFmt>
      <c:pivotFmt>
        <c:idx val="27"/>
        <c:spPr>
          <a:solidFill>
            <a:schemeClr val="accent1"/>
          </a:solidFill>
          <a:ln>
            <a:noFill/>
          </a:ln>
          <a:effectLst>
            <a:outerShdw blurRad="254000" sx="102000" sy="102000" algn="ctr" rotWithShape="0">
              <a:prstClr val="black">
                <a:alpha val="20000"/>
              </a:prstClr>
            </a:outerShdw>
          </a:effectLst>
          <a:sp3d/>
        </c:spPr>
      </c:pivotFmt>
      <c:pivotFmt>
        <c:idx val="28"/>
        <c:spPr>
          <a:solidFill>
            <a:schemeClr val="accent1"/>
          </a:solidFill>
          <a:ln>
            <a:noFill/>
          </a:ln>
          <a:effectLst>
            <a:outerShdw blurRad="254000" sx="102000" sy="102000" algn="ctr" rotWithShape="0">
              <a:prstClr val="black">
                <a:alpha val="20000"/>
              </a:prstClr>
            </a:outerShdw>
          </a:effectLst>
          <a:sp3d/>
        </c:spPr>
      </c:pivotFmt>
      <c:pivotFmt>
        <c:idx val="29"/>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0"/>
        <c:spPr>
          <a:solidFill>
            <a:schemeClr val="accent1"/>
          </a:solidFill>
          <a:ln>
            <a:noFill/>
          </a:ln>
          <a:effectLst>
            <a:outerShdw blurRad="254000" sx="102000" sy="102000" algn="ctr" rotWithShape="0">
              <a:prstClr val="black">
                <a:alpha val="20000"/>
              </a:prstClr>
            </a:outerShdw>
          </a:effectLst>
          <a:sp3d/>
        </c:spPr>
      </c:pivotFmt>
      <c:pivotFmt>
        <c:idx val="31"/>
        <c:spPr>
          <a:solidFill>
            <a:schemeClr val="accent1"/>
          </a:solidFill>
          <a:ln>
            <a:noFill/>
          </a:ln>
          <a:effectLst>
            <a:outerShdw blurRad="254000" sx="102000" sy="102000" algn="ctr" rotWithShape="0">
              <a:prstClr val="black">
                <a:alpha val="20000"/>
              </a:prstClr>
            </a:outerShdw>
          </a:effectLst>
          <a:sp3d/>
        </c:spPr>
        <c:dLbl>
          <c:idx val="0"/>
          <c:layout>
            <c:manualLayout>
              <c:x val="-7.7579578761758181E-2"/>
              <c:y val="4.748520320998017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32"/>
        <c:spPr>
          <a:solidFill>
            <a:schemeClr val="accent1"/>
          </a:solidFill>
          <a:ln>
            <a:noFill/>
          </a:ln>
          <a:effectLst>
            <a:outerShdw blurRad="254000" sx="102000" sy="102000" algn="ctr" rotWithShape="0">
              <a:prstClr val="black">
                <a:alpha val="20000"/>
              </a:prstClr>
            </a:outerShdw>
          </a:effectLst>
          <a:sp3d/>
        </c:spPr>
      </c:pivotFmt>
      <c:pivotFmt>
        <c:idx val="33"/>
        <c:spPr>
          <a:solidFill>
            <a:schemeClr val="accent1"/>
          </a:solidFill>
          <a:ln>
            <a:noFill/>
          </a:ln>
          <a:effectLst>
            <a:outerShdw blurRad="254000" sx="102000" sy="102000" algn="ctr" rotWithShape="0">
              <a:prstClr val="black">
                <a:alpha val="20000"/>
              </a:prstClr>
            </a:outerShdw>
          </a:effectLst>
          <a:sp3d/>
        </c:spPr>
      </c:pivotFmt>
      <c:pivotFmt>
        <c:idx val="34"/>
        <c:spPr>
          <a:solidFill>
            <a:schemeClr val="accent1"/>
          </a:solidFill>
          <a:ln>
            <a:noFill/>
          </a:ln>
          <a:effectLst>
            <a:outerShdw blurRad="254000" sx="102000" sy="102000" algn="ctr" rotWithShape="0">
              <a:prstClr val="black">
                <a:alpha val="20000"/>
              </a:prstClr>
            </a:outerShdw>
          </a:effectLst>
          <a:sp3d/>
        </c:spPr>
      </c:pivotFmt>
      <c:pivotFmt>
        <c:idx val="35"/>
        <c:spPr>
          <a:solidFill>
            <a:schemeClr val="accent1"/>
          </a:solidFill>
          <a:ln>
            <a:noFill/>
          </a:ln>
          <a:effectLst>
            <a:outerShdw blurRad="254000" sx="102000" sy="102000" algn="ctr" rotWithShape="0">
              <a:prstClr val="black">
                <a:alpha val="20000"/>
              </a:prstClr>
            </a:outerShdw>
          </a:effectLst>
          <a:sp3d/>
        </c:spPr>
        <c:dLbl>
          <c:idx val="0"/>
          <c:layout>
            <c:manualLayout>
              <c:x val="-0.10940059583493227"/>
              <c:y val="-8.349611354817217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36"/>
        <c:spPr>
          <a:solidFill>
            <a:schemeClr val="accent1"/>
          </a:solidFill>
          <a:ln>
            <a:noFill/>
          </a:ln>
          <a:effectLst>
            <a:outerShdw blurRad="254000" sx="102000" sy="102000" algn="ctr" rotWithShape="0">
              <a:prstClr val="black">
                <a:alpha val="20000"/>
              </a:prstClr>
            </a:outerShdw>
          </a:effectLst>
          <a:sp3d/>
        </c:spPr>
      </c:pivotFmt>
      <c:pivotFmt>
        <c:idx val="37"/>
        <c:spPr>
          <a:solidFill>
            <a:schemeClr val="accent1"/>
          </a:solidFill>
          <a:ln>
            <a:noFill/>
          </a:ln>
          <a:effectLst>
            <a:outerShdw blurRad="254000" sx="102000" sy="102000" algn="ctr" rotWithShape="0">
              <a:prstClr val="black">
                <a:alpha val="20000"/>
              </a:prstClr>
            </a:outerShdw>
          </a:effectLst>
          <a:sp3d/>
        </c:spPr>
      </c:pivotFmt>
      <c:pivotFmt>
        <c:idx val="38"/>
        <c:spPr>
          <a:solidFill>
            <a:schemeClr val="accent1"/>
          </a:solidFill>
          <a:ln>
            <a:noFill/>
          </a:ln>
          <a:effectLst>
            <a:outerShdw blurRad="254000" sx="102000" sy="102000" algn="ctr" rotWithShape="0">
              <a:prstClr val="black">
                <a:alpha val="20000"/>
              </a:prstClr>
            </a:outerShdw>
          </a:effectLst>
          <a:sp3d/>
        </c:spPr>
      </c:pivotFmt>
      <c:pivotFmt>
        <c:idx val="39"/>
        <c:spPr>
          <a:solidFill>
            <a:schemeClr val="accent1"/>
          </a:solidFill>
          <a:ln>
            <a:noFill/>
          </a:ln>
          <a:effectLst>
            <a:outerShdw blurRad="254000" sx="102000" sy="102000" algn="ctr" rotWithShape="0">
              <a:prstClr val="black">
                <a:alpha val="20000"/>
              </a:prstClr>
            </a:outerShdw>
          </a:effectLst>
          <a:sp3d/>
        </c:spPr>
      </c:pivotFmt>
      <c:pivotFmt>
        <c:idx val="40"/>
        <c:spPr>
          <a:solidFill>
            <a:schemeClr val="accent1"/>
          </a:solidFill>
          <a:ln>
            <a:noFill/>
          </a:ln>
          <a:effectLst>
            <a:outerShdw blurRad="254000" sx="102000" sy="102000" algn="ctr" rotWithShape="0">
              <a:prstClr val="black">
                <a:alpha val="20000"/>
              </a:prstClr>
            </a:outerShdw>
          </a:effectLst>
          <a:sp3d/>
        </c:spPr>
      </c:pivotFmt>
      <c:pivotFmt>
        <c:idx val="41"/>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2"/>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4"/>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5"/>
        <c:spPr>
          <a:solidFill>
            <a:schemeClr val="accent1"/>
          </a:solidFill>
          <a:ln>
            <a:noFill/>
          </a:ln>
          <a:effectLst>
            <a:outerShdw blurRad="254000" sx="102000" sy="102000" algn="ctr" rotWithShape="0">
              <a:prstClr val="black">
                <a:alpha val="20000"/>
              </a:prstClr>
            </a:outerShdw>
          </a:effectLst>
          <a:sp3d/>
        </c:spPr>
      </c:pivotFmt>
      <c:pivotFmt>
        <c:idx val="46"/>
        <c:spPr>
          <a:solidFill>
            <a:schemeClr val="accent1"/>
          </a:solidFill>
          <a:ln>
            <a:noFill/>
          </a:ln>
          <a:effectLst>
            <a:outerShdw blurRad="254000" sx="102000" sy="102000" algn="ctr" rotWithShape="0">
              <a:prstClr val="black">
                <a:alpha val="20000"/>
              </a:prstClr>
            </a:outerShdw>
          </a:effectLst>
          <a:sp3d/>
        </c:spPr>
      </c:pivotFmt>
      <c:pivotFmt>
        <c:idx val="47"/>
        <c:spPr>
          <a:solidFill>
            <a:schemeClr val="accent1"/>
          </a:solidFill>
          <a:ln>
            <a:noFill/>
          </a:ln>
          <a:effectLst>
            <a:outerShdw blurRad="254000" sx="102000" sy="102000" algn="ctr" rotWithShape="0">
              <a:prstClr val="black">
                <a:alpha val="20000"/>
              </a:prstClr>
            </a:outerShdw>
          </a:effectLst>
          <a:sp3d/>
        </c:spPr>
      </c:pivotFmt>
      <c:pivotFmt>
        <c:idx val="48"/>
        <c:spPr>
          <a:solidFill>
            <a:schemeClr val="accent1"/>
          </a:solidFill>
          <a:ln>
            <a:noFill/>
          </a:ln>
          <a:effectLst>
            <a:outerShdw blurRad="254000" sx="102000" sy="102000" algn="ctr" rotWithShape="0">
              <a:prstClr val="black">
                <a:alpha val="20000"/>
              </a:prstClr>
            </a:outerShdw>
          </a:effectLst>
          <a:sp3d/>
        </c:spPr>
      </c:pivotFmt>
      <c:pivotFmt>
        <c:idx val="49"/>
        <c:spPr>
          <a:solidFill>
            <a:schemeClr val="accent1"/>
          </a:solidFill>
          <a:ln>
            <a:noFill/>
          </a:ln>
          <a:effectLst>
            <a:outerShdw blurRad="254000" sx="102000" sy="102000" algn="ctr" rotWithShape="0">
              <a:prstClr val="black">
                <a:alpha val="20000"/>
              </a:prstClr>
            </a:outerShdw>
          </a:effectLst>
          <a:sp3d/>
        </c:spPr>
      </c:pivotFmt>
      <c:pivotFmt>
        <c:idx val="50"/>
        <c:spPr>
          <a:solidFill>
            <a:schemeClr val="accent1"/>
          </a:solidFill>
          <a:ln>
            <a:noFill/>
          </a:ln>
          <a:effectLst>
            <a:outerShdw blurRad="254000" sx="102000" sy="102000" algn="ctr" rotWithShape="0">
              <a:prstClr val="black">
                <a:alpha val="20000"/>
              </a:prstClr>
            </a:outerShdw>
          </a:effectLst>
          <a:sp3d/>
        </c:spPr>
      </c:pivotFmt>
      <c:pivotFmt>
        <c:idx val="51"/>
        <c:spPr>
          <a:solidFill>
            <a:schemeClr val="accent1"/>
          </a:solidFill>
          <a:ln>
            <a:noFill/>
          </a:ln>
          <a:effectLst>
            <a:outerShdw blurRad="254000" sx="102000" sy="102000" algn="ctr" rotWithShape="0">
              <a:prstClr val="black">
                <a:alpha val="20000"/>
              </a:prstClr>
            </a:outerShdw>
          </a:effectLst>
          <a:sp3d/>
        </c:spPr>
      </c:pivotFmt>
      <c:pivotFmt>
        <c:idx val="52"/>
        <c:spPr>
          <a:solidFill>
            <a:schemeClr val="accent1"/>
          </a:solidFill>
          <a:ln>
            <a:noFill/>
          </a:ln>
          <a:effectLst>
            <a:outerShdw blurRad="254000" sx="102000" sy="102000" algn="ctr" rotWithShape="0">
              <a:prstClr val="black">
                <a:alpha val="20000"/>
              </a:prstClr>
            </a:outerShdw>
          </a:effectLst>
          <a:sp3d/>
        </c:spPr>
      </c:pivotFmt>
      <c:pivotFmt>
        <c:idx val="53"/>
        <c:spPr>
          <a:solidFill>
            <a:schemeClr val="accent1"/>
          </a:solidFill>
          <a:ln>
            <a:noFill/>
          </a:ln>
          <a:effectLst>
            <a:outerShdw blurRad="254000" sx="102000" sy="102000" algn="ctr" rotWithShape="0">
              <a:prstClr val="black">
                <a:alpha val="20000"/>
              </a:prstClr>
            </a:outerShdw>
          </a:effectLst>
          <a:sp3d/>
        </c:spPr>
      </c:pivotFmt>
      <c:pivotFmt>
        <c:idx val="54"/>
        <c:spPr>
          <a:solidFill>
            <a:schemeClr val="accent1"/>
          </a:solidFill>
          <a:ln>
            <a:noFill/>
          </a:ln>
          <a:effectLst>
            <a:outerShdw blurRad="254000" sx="102000" sy="102000" algn="ctr" rotWithShape="0">
              <a:prstClr val="black">
                <a:alpha val="20000"/>
              </a:prstClr>
            </a:outerShdw>
          </a:effectLst>
          <a:sp3d/>
        </c:spPr>
      </c:pivotFmt>
      <c:pivotFmt>
        <c:idx val="55"/>
        <c:spPr>
          <a:solidFill>
            <a:schemeClr val="accent1"/>
          </a:solidFill>
          <a:ln>
            <a:noFill/>
          </a:ln>
          <a:effectLst>
            <a:outerShdw blurRad="254000" sx="102000" sy="102000" algn="ctr" rotWithShape="0">
              <a:prstClr val="black">
                <a:alpha val="20000"/>
              </a:prstClr>
            </a:outerShdw>
          </a:effectLst>
          <a:sp3d/>
        </c:spPr>
      </c:pivotFmt>
      <c:pivotFmt>
        <c:idx val="56"/>
        <c:spPr>
          <a:solidFill>
            <a:schemeClr val="accent1"/>
          </a:solidFill>
          <a:ln>
            <a:noFill/>
          </a:ln>
          <a:effectLst>
            <a:outerShdw blurRad="254000" sx="102000" sy="102000" algn="ctr" rotWithShape="0">
              <a:prstClr val="black">
                <a:alpha val="20000"/>
              </a:prstClr>
            </a:outerShdw>
          </a:effectLst>
          <a:sp3d/>
        </c:spPr>
        <c:dLbl>
          <c:idx val="0"/>
          <c:layout>
            <c:manualLayout>
              <c:x val="-9.6390927900536674E-2"/>
              <c:y val="3.49332300872516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57"/>
        <c:spPr>
          <a:solidFill>
            <a:schemeClr val="accent1"/>
          </a:solidFill>
          <a:ln>
            <a:noFill/>
          </a:ln>
          <a:effectLst>
            <a:outerShdw blurRad="254000" sx="102000" sy="102000" algn="ctr" rotWithShape="0">
              <a:prstClr val="black">
                <a:alpha val="20000"/>
              </a:prstClr>
            </a:outerShdw>
          </a:effectLst>
          <a:sp3d/>
        </c:spPr>
        <c:dLbl>
          <c:idx val="0"/>
          <c:layout>
            <c:manualLayout>
              <c:x val="-6.0183168181553399E-2"/>
              <c:y val="8.443540268059412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58"/>
        <c:spPr>
          <a:solidFill>
            <a:schemeClr val="accent1"/>
          </a:solidFill>
          <a:ln>
            <a:noFill/>
          </a:ln>
          <a:effectLst>
            <a:outerShdw blurRad="254000" sx="102000" sy="102000" algn="ctr" rotWithShape="0">
              <a:prstClr val="black">
                <a:alpha val="20000"/>
              </a:prstClr>
            </a:outerShdw>
          </a:effectLst>
          <a:sp3d/>
        </c:spPr>
        <c:dLbl>
          <c:idx val="0"/>
          <c:layout>
            <c:manualLayout>
              <c:x val="-8.9778497769303786E-2"/>
              <c:y val="-8.719139947521523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59"/>
        <c:spPr>
          <a:solidFill>
            <a:schemeClr val="accent1"/>
          </a:solidFill>
          <a:ln>
            <a:noFill/>
          </a:ln>
          <a:effectLst>
            <a:outerShdw blurRad="254000" sx="102000" sy="102000" algn="ctr" rotWithShape="0">
              <a:prstClr val="black">
                <a:alpha val="20000"/>
              </a:prstClr>
            </a:outerShdw>
          </a:effectLst>
          <a:sp3d/>
        </c:spPr>
      </c:pivotFmt>
      <c:pivotFmt>
        <c:idx val="60"/>
        <c:spPr>
          <a:solidFill>
            <a:schemeClr val="accent1"/>
          </a:solidFill>
          <a:ln>
            <a:noFill/>
          </a:ln>
          <a:effectLst>
            <a:outerShdw blurRad="254000" sx="102000" sy="102000" algn="ctr" rotWithShape="0">
              <a:prstClr val="black">
                <a:alpha val="20000"/>
              </a:prstClr>
            </a:outerShdw>
          </a:effectLst>
          <a:sp3d/>
        </c:spPr>
      </c:pivotFmt>
      <c:pivotFmt>
        <c:idx val="61"/>
        <c:spPr>
          <a:solidFill>
            <a:schemeClr val="accent1"/>
          </a:solidFill>
          <a:ln>
            <a:noFill/>
          </a:ln>
          <a:effectLst>
            <a:outerShdw blurRad="254000" sx="102000" sy="102000" algn="ctr" rotWithShape="0">
              <a:prstClr val="black">
                <a:alpha val="20000"/>
              </a:prstClr>
            </a:outerShdw>
          </a:effectLst>
          <a:sp3d/>
        </c:spPr>
      </c:pivotFmt>
      <c:pivotFmt>
        <c:idx val="62"/>
        <c:spPr>
          <a:solidFill>
            <a:schemeClr val="accent1"/>
          </a:solidFill>
          <a:ln>
            <a:noFill/>
          </a:ln>
          <a:effectLst>
            <a:outerShdw blurRad="254000" sx="102000" sy="102000" algn="ctr" rotWithShape="0">
              <a:prstClr val="black">
                <a:alpha val="20000"/>
              </a:prstClr>
            </a:outerShdw>
          </a:effectLst>
          <a:sp3d/>
        </c:spPr>
      </c:pivotFmt>
      <c:pivotFmt>
        <c:idx val="63"/>
        <c:spPr>
          <a:solidFill>
            <a:schemeClr val="accent1"/>
          </a:solidFill>
          <a:ln>
            <a:noFill/>
          </a:ln>
          <a:effectLst>
            <a:outerShdw blurRad="254000" sx="102000" sy="102000" algn="ctr" rotWithShape="0">
              <a:prstClr val="black">
                <a:alpha val="20000"/>
              </a:prstClr>
            </a:outerShdw>
          </a:effectLst>
          <a:sp3d/>
        </c:spPr>
      </c:pivotFmt>
      <c:pivotFmt>
        <c:idx val="64"/>
        <c:spPr>
          <a:solidFill>
            <a:schemeClr val="accent1"/>
          </a:solidFill>
          <a:ln>
            <a:noFill/>
          </a:ln>
          <a:effectLst>
            <a:outerShdw blurRad="254000" sx="102000" sy="102000" algn="ctr" rotWithShape="0">
              <a:prstClr val="black">
                <a:alpha val="20000"/>
              </a:prstClr>
            </a:outerShdw>
          </a:effectLst>
          <a:sp3d/>
        </c:spPr>
      </c:pivotFmt>
      <c:pivotFmt>
        <c:idx val="65"/>
        <c:spPr>
          <a:solidFill>
            <a:schemeClr val="accent1"/>
          </a:solidFill>
          <a:ln>
            <a:noFill/>
          </a:ln>
          <a:effectLst>
            <a:outerShdw blurRad="254000" sx="102000" sy="102000" algn="ctr" rotWithShape="0">
              <a:prstClr val="black">
                <a:alpha val="20000"/>
              </a:prstClr>
            </a:outerShdw>
          </a:effectLst>
          <a:sp3d/>
        </c:spPr>
      </c:pivotFmt>
      <c:pivotFmt>
        <c:idx val="66"/>
        <c:spPr>
          <a:solidFill>
            <a:schemeClr val="accent1"/>
          </a:solidFill>
          <a:ln>
            <a:noFill/>
          </a:ln>
          <a:effectLst>
            <a:outerShdw blurRad="254000" sx="102000" sy="102000" algn="ctr" rotWithShape="0">
              <a:prstClr val="black">
                <a:alpha val="20000"/>
              </a:prstClr>
            </a:outerShdw>
          </a:effectLst>
          <a:sp3d/>
        </c:spPr>
      </c:pivotFmt>
      <c:pivotFmt>
        <c:idx val="67"/>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8"/>
        <c:spPr>
          <a:solidFill>
            <a:schemeClr val="accent1"/>
          </a:solidFill>
          <a:ln>
            <a:noFill/>
          </a:ln>
          <a:effectLst>
            <a:outerShdw blurRad="254000" sx="102000" sy="102000" algn="ctr" rotWithShape="0">
              <a:prstClr val="black">
                <a:alpha val="20000"/>
              </a:prstClr>
            </a:outerShdw>
          </a:effectLst>
          <a:sp3d/>
        </c:spPr>
        <c:dLbl>
          <c:idx val="0"/>
          <c:layout>
            <c:manualLayout>
              <c:x val="-6.0183168181553399E-2"/>
              <c:y val="8.443540268059412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69"/>
        <c:spPr>
          <a:solidFill>
            <a:schemeClr val="accent1"/>
          </a:solidFill>
          <a:ln>
            <a:noFill/>
          </a:ln>
          <a:effectLst>
            <a:outerShdw blurRad="254000" sx="102000" sy="102000" algn="ctr" rotWithShape="0">
              <a:prstClr val="black">
                <a:alpha val="20000"/>
              </a:prstClr>
            </a:outerShdw>
          </a:effectLst>
          <a:sp3d/>
        </c:spPr>
      </c:pivotFmt>
      <c:pivotFmt>
        <c:idx val="70"/>
        <c:spPr>
          <a:solidFill>
            <a:schemeClr val="accent1"/>
          </a:solidFill>
          <a:ln>
            <a:noFill/>
          </a:ln>
          <a:effectLst>
            <a:outerShdw blurRad="254000" sx="102000" sy="102000" algn="ctr" rotWithShape="0">
              <a:prstClr val="black">
                <a:alpha val="20000"/>
              </a:prstClr>
            </a:outerShdw>
          </a:effectLst>
          <a:sp3d/>
        </c:spPr>
        <c:dLbl>
          <c:idx val="0"/>
          <c:layout>
            <c:manualLayout>
              <c:x val="-9.6390927900536674E-2"/>
              <c:y val="3.49332300872516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1"/>
        <c:spPr>
          <a:solidFill>
            <a:schemeClr val="accent1"/>
          </a:solidFill>
          <a:ln>
            <a:noFill/>
          </a:ln>
          <a:effectLst>
            <a:outerShdw blurRad="254000" sx="102000" sy="102000" algn="ctr" rotWithShape="0">
              <a:prstClr val="black">
                <a:alpha val="20000"/>
              </a:prstClr>
            </a:outerShdw>
          </a:effectLst>
          <a:sp3d/>
        </c:spPr>
      </c:pivotFmt>
      <c:pivotFmt>
        <c:idx val="72"/>
        <c:spPr>
          <a:solidFill>
            <a:schemeClr val="accent1"/>
          </a:solidFill>
          <a:ln>
            <a:noFill/>
          </a:ln>
          <a:effectLst>
            <a:outerShdw blurRad="254000" sx="102000" sy="102000" algn="ctr" rotWithShape="0">
              <a:prstClr val="black">
                <a:alpha val="20000"/>
              </a:prstClr>
            </a:outerShdw>
          </a:effectLst>
          <a:sp3d/>
        </c:spPr>
      </c:pivotFmt>
      <c:pivotFmt>
        <c:idx val="73"/>
        <c:spPr>
          <a:solidFill>
            <a:schemeClr val="accent1"/>
          </a:solidFill>
          <a:ln>
            <a:noFill/>
          </a:ln>
          <a:effectLst>
            <a:outerShdw blurRad="254000" sx="102000" sy="102000" algn="ctr" rotWithShape="0">
              <a:prstClr val="black">
                <a:alpha val="20000"/>
              </a:prstClr>
            </a:outerShdw>
          </a:effectLst>
          <a:sp3d/>
        </c:spPr>
      </c:pivotFmt>
      <c:pivotFmt>
        <c:idx val="74"/>
        <c:spPr>
          <a:solidFill>
            <a:schemeClr val="accent1"/>
          </a:solidFill>
          <a:ln>
            <a:noFill/>
          </a:ln>
          <a:effectLst>
            <a:outerShdw blurRad="254000" sx="102000" sy="102000" algn="ctr" rotWithShape="0">
              <a:prstClr val="black">
                <a:alpha val="20000"/>
              </a:prstClr>
            </a:outerShdw>
          </a:effectLst>
          <a:sp3d/>
        </c:spPr>
        <c:dLbl>
          <c:idx val="0"/>
          <c:layout>
            <c:manualLayout>
              <c:x val="-8.9778497769303786E-2"/>
              <c:y val="-8.719139947521523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5"/>
        <c:spPr>
          <a:solidFill>
            <a:schemeClr val="accent1"/>
          </a:solidFill>
          <a:ln>
            <a:noFill/>
          </a:ln>
          <a:effectLst>
            <a:outerShdw blurRad="254000" sx="102000" sy="102000" algn="ctr" rotWithShape="0">
              <a:prstClr val="black">
                <a:alpha val="20000"/>
              </a:prstClr>
            </a:outerShdw>
          </a:effectLst>
          <a:sp3d/>
        </c:spPr>
      </c:pivotFmt>
      <c:pivotFmt>
        <c:idx val="76"/>
        <c:spPr>
          <a:solidFill>
            <a:schemeClr val="accent1"/>
          </a:solidFill>
          <a:ln>
            <a:noFill/>
          </a:ln>
          <a:effectLst>
            <a:outerShdw blurRad="254000" sx="102000" sy="102000" algn="ctr" rotWithShape="0">
              <a:prstClr val="black">
                <a:alpha val="20000"/>
              </a:prstClr>
            </a:outerShdw>
          </a:effectLst>
          <a:sp3d/>
        </c:spPr>
      </c:pivotFmt>
      <c:pivotFmt>
        <c:idx val="77"/>
        <c:spPr>
          <a:solidFill>
            <a:schemeClr val="accent1"/>
          </a:solidFill>
          <a:ln>
            <a:noFill/>
          </a:ln>
          <a:effectLst>
            <a:outerShdw blurRad="254000" sx="102000" sy="102000" algn="ctr" rotWithShape="0">
              <a:prstClr val="black">
                <a:alpha val="20000"/>
              </a:prstClr>
            </a:outerShdw>
          </a:effectLst>
          <a:sp3d/>
        </c:spPr>
      </c:pivotFmt>
      <c:pivotFmt>
        <c:idx val="78"/>
        <c:spPr>
          <a:solidFill>
            <a:schemeClr val="accent1"/>
          </a:solidFill>
          <a:ln>
            <a:noFill/>
          </a:ln>
          <a:effectLst>
            <a:outerShdw blurRad="254000" sx="102000" sy="102000" algn="ctr" rotWithShape="0">
              <a:prstClr val="black">
                <a:alpha val="20000"/>
              </a:prstClr>
            </a:outerShdw>
          </a:effectLst>
          <a:sp3d/>
        </c:spPr>
      </c:pivotFmt>
      <c:pivotFmt>
        <c:idx val="79"/>
        <c:spPr>
          <a:solidFill>
            <a:schemeClr val="accent1"/>
          </a:solidFill>
          <a:ln>
            <a:noFill/>
          </a:ln>
          <a:effectLst>
            <a:outerShdw blurRad="254000" sx="102000" sy="102000" algn="ctr" rotWithShape="0">
              <a:prstClr val="black">
                <a:alpha val="20000"/>
              </a:prstClr>
            </a:outerShdw>
          </a:effectLst>
          <a:sp3d/>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80"/>
        <c:spPr>
          <a:solidFill>
            <a:schemeClr val="accent1"/>
          </a:solidFill>
          <a:ln>
            <a:noFill/>
          </a:ln>
          <a:effectLst>
            <a:outerShdw blurRad="254000" sx="102000" sy="102000" algn="ctr" rotWithShape="0">
              <a:prstClr val="black">
                <a:alpha val="20000"/>
              </a:prstClr>
            </a:outerShdw>
          </a:effectLst>
          <a:sp3d/>
        </c:spPr>
        <c:dLbl>
          <c:idx val="0"/>
          <c:layout>
            <c:manualLayout>
              <c:x val="-6.0183168181553399E-2"/>
              <c:y val="8.4435402680594129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81"/>
        <c:spPr>
          <a:solidFill>
            <a:schemeClr val="accent1"/>
          </a:solidFill>
          <a:ln>
            <a:noFill/>
          </a:ln>
          <a:effectLst>
            <a:outerShdw blurRad="254000" sx="102000" sy="102000" algn="ctr" rotWithShape="0">
              <a:prstClr val="black">
                <a:alpha val="20000"/>
              </a:prstClr>
            </a:outerShdw>
          </a:effectLst>
          <a:sp3d/>
        </c:spPr>
      </c:pivotFmt>
      <c:pivotFmt>
        <c:idx val="82"/>
        <c:spPr>
          <a:solidFill>
            <a:schemeClr val="accent1"/>
          </a:solidFill>
          <a:ln>
            <a:noFill/>
          </a:ln>
          <a:effectLst>
            <a:outerShdw blurRad="254000" sx="102000" sy="102000" algn="ctr" rotWithShape="0">
              <a:prstClr val="black">
                <a:alpha val="20000"/>
              </a:prstClr>
            </a:outerShdw>
          </a:effectLst>
          <a:sp3d/>
        </c:spPr>
        <c:dLbl>
          <c:idx val="0"/>
          <c:layout>
            <c:manualLayout>
              <c:x val="-9.6390927900536674E-2"/>
              <c:y val="3.493323008725166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83"/>
        <c:spPr>
          <a:solidFill>
            <a:schemeClr val="accent1"/>
          </a:solidFill>
          <a:ln>
            <a:noFill/>
          </a:ln>
          <a:effectLst>
            <a:outerShdw blurRad="254000" sx="102000" sy="102000" algn="ctr" rotWithShape="0">
              <a:prstClr val="black">
                <a:alpha val="20000"/>
              </a:prstClr>
            </a:outerShdw>
          </a:effectLst>
          <a:sp3d/>
        </c:spPr>
      </c:pivotFmt>
      <c:pivotFmt>
        <c:idx val="84"/>
        <c:spPr>
          <a:solidFill>
            <a:schemeClr val="accent1"/>
          </a:solidFill>
          <a:ln>
            <a:noFill/>
          </a:ln>
          <a:effectLst>
            <a:outerShdw blurRad="254000" sx="102000" sy="102000" algn="ctr" rotWithShape="0">
              <a:prstClr val="black">
                <a:alpha val="20000"/>
              </a:prstClr>
            </a:outerShdw>
          </a:effectLst>
          <a:sp3d/>
        </c:spPr>
      </c:pivotFmt>
      <c:pivotFmt>
        <c:idx val="85"/>
        <c:spPr>
          <a:solidFill>
            <a:schemeClr val="accent1"/>
          </a:solidFill>
          <a:ln>
            <a:noFill/>
          </a:ln>
          <a:effectLst>
            <a:outerShdw blurRad="254000" sx="102000" sy="102000" algn="ctr" rotWithShape="0">
              <a:prstClr val="black">
                <a:alpha val="20000"/>
              </a:prstClr>
            </a:outerShdw>
          </a:effectLst>
          <a:sp3d/>
        </c:spPr>
      </c:pivotFmt>
      <c:pivotFmt>
        <c:idx val="86"/>
        <c:spPr>
          <a:solidFill>
            <a:schemeClr val="accent1"/>
          </a:solidFill>
          <a:ln>
            <a:noFill/>
          </a:ln>
          <a:effectLst>
            <a:outerShdw blurRad="254000" sx="102000" sy="102000" algn="ctr" rotWithShape="0">
              <a:prstClr val="black">
                <a:alpha val="20000"/>
              </a:prstClr>
            </a:outerShdw>
          </a:effectLst>
          <a:sp3d/>
        </c:spPr>
        <c:dLbl>
          <c:idx val="0"/>
          <c:layout>
            <c:manualLayout>
              <c:x val="-8.9778497769303786E-2"/>
              <c:y val="-8.719139947521523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87"/>
        <c:spPr>
          <a:solidFill>
            <a:schemeClr val="accent1"/>
          </a:solidFill>
          <a:ln>
            <a:noFill/>
          </a:ln>
          <a:effectLst>
            <a:outerShdw blurRad="254000" sx="102000" sy="102000" algn="ctr" rotWithShape="0">
              <a:prstClr val="black">
                <a:alpha val="20000"/>
              </a:prstClr>
            </a:outerShdw>
          </a:effectLst>
          <a:sp3d/>
        </c:spPr>
      </c:pivotFmt>
      <c:pivotFmt>
        <c:idx val="88"/>
        <c:spPr>
          <a:solidFill>
            <a:schemeClr val="accent1"/>
          </a:solidFill>
          <a:ln>
            <a:noFill/>
          </a:ln>
          <a:effectLst>
            <a:outerShdw blurRad="254000" sx="102000" sy="102000" algn="ctr" rotWithShape="0">
              <a:prstClr val="black">
                <a:alpha val="20000"/>
              </a:prstClr>
            </a:outerShdw>
          </a:effectLst>
          <a:sp3d/>
        </c:spPr>
      </c:pivotFmt>
      <c:pivotFmt>
        <c:idx val="89"/>
        <c:spPr>
          <a:solidFill>
            <a:schemeClr val="accent1"/>
          </a:solidFill>
          <a:ln>
            <a:noFill/>
          </a:ln>
          <a:effectLst>
            <a:outerShdw blurRad="254000" sx="102000" sy="102000" algn="ctr" rotWithShape="0">
              <a:prstClr val="black">
                <a:alpha val="20000"/>
              </a:prstClr>
            </a:outerShdw>
          </a:effectLst>
          <a:sp3d/>
        </c:spPr>
      </c:pivotFmt>
      <c:pivotFmt>
        <c:idx val="90"/>
        <c:spPr>
          <a:solidFill>
            <a:schemeClr val="accent1"/>
          </a:solidFill>
          <a:ln>
            <a:noFill/>
          </a:ln>
          <a:effectLst>
            <a:outerShdw blurRad="254000" sx="102000" sy="102000" algn="ctr" rotWithShape="0">
              <a:prstClr val="black">
                <a:alpha val="20000"/>
              </a:prstClr>
            </a:outerShdw>
          </a:effectLst>
          <a:sp3d/>
        </c:spPr>
      </c:pivotFmt>
    </c:pivotFmts>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985134218224649E-2"/>
          <c:y val="1.2785708818987696E-3"/>
          <c:w val="0.6138240268766344"/>
          <c:h val="0.85921313866641458"/>
        </c:manualLayout>
      </c:layout>
      <c:pie3DChart>
        <c:varyColors val="1"/>
        <c:ser>
          <c:idx val="0"/>
          <c:order val="0"/>
          <c:tx>
            <c:strRef>
              <c:f>'STZ en VNW'!$B$5</c:f>
              <c:strCache>
                <c:ptCount val="1"/>
                <c:pt idx="0">
                  <c:v>Totaal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Lbls>
            <c:dLbl>
              <c:idx val="0"/>
              <c:layout>
                <c:manualLayout>
                  <c:x val="-6.0183168181553399E-2"/>
                  <c:y val="8.443540268059412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6390927900536674E-2"/>
                  <c:y val="3.4933230087251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8.9778497769303786E-2"/>
                  <c:y val="-8.7191399475215231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'STZ en VNW'!$A$6:$A$17</c:f>
              <c:strCache>
                <c:ptCount val="11"/>
                <c:pt idx="0">
                  <c:v>Cameratoezicht</c:v>
                </c:pt>
                <c:pt idx="1">
                  <c:v>HIC (o.a. inbraken en ondermijning)</c:v>
                </c:pt>
                <c:pt idx="2">
                  <c:v>Impulsbudget leefbaarheid en veiligheid</c:v>
                </c:pt>
                <c:pt idx="3">
                  <c:v>Jeugd, uitvoering bijz wetten, monitoring enz</c:v>
                </c:pt>
                <c:pt idx="4">
                  <c:v>Parkeren</c:v>
                </c:pt>
                <c:pt idx="5">
                  <c:v>Radicalisering</c:v>
                </c:pt>
                <c:pt idx="6">
                  <c:v>Rampenbestrijding</c:v>
                </c:pt>
                <c:pt idx="7">
                  <c:v>STZ - overig (STB, toezicht, enz)</c:v>
                </c:pt>
                <c:pt idx="8">
                  <c:v>Veiligheidshuis</c:v>
                </c:pt>
                <c:pt idx="9">
                  <c:v>Veiligheidsregio</c:v>
                </c:pt>
                <c:pt idx="10">
                  <c:v>VNW - overig</c:v>
                </c:pt>
              </c:strCache>
            </c:strRef>
          </c:cat>
          <c:val>
            <c:numRef>
              <c:f>'STZ en VNW'!$B$6:$B$17</c:f>
              <c:numCache>
                <c:formatCode>_ * #,##0_ ;_ * \-#,##0_ ;_ * "-"??_ ;_ @_ </c:formatCode>
                <c:ptCount val="11"/>
                <c:pt idx="0">
                  <c:v>888179</c:v>
                </c:pt>
                <c:pt idx="1">
                  <c:v>420039</c:v>
                </c:pt>
                <c:pt idx="2">
                  <c:v>100926</c:v>
                </c:pt>
                <c:pt idx="3">
                  <c:v>959547</c:v>
                </c:pt>
                <c:pt idx="4">
                  <c:v>784752</c:v>
                </c:pt>
                <c:pt idx="5">
                  <c:v>105000</c:v>
                </c:pt>
                <c:pt idx="6">
                  <c:v>262879</c:v>
                </c:pt>
                <c:pt idx="7">
                  <c:v>616397</c:v>
                </c:pt>
                <c:pt idx="8">
                  <c:v>263272</c:v>
                </c:pt>
                <c:pt idx="9">
                  <c:v>4355059</c:v>
                </c:pt>
                <c:pt idx="10">
                  <c:v>44340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000127845344863"/>
          <c:y val="5.1942328347167985E-2"/>
          <c:w val="0.28695160248006063"/>
          <c:h val="0.8459398672726884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9552-EEA7-40F8-B880-0C4912DC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6326</Words>
  <Characters>34798</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 de Waal, Hester van</dc:creator>
  <cp:keywords/>
  <dc:description/>
  <cp:lastModifiedBy>senior</cp:lastModifiedBy>
  <cp:revision>7</cp:revision>
  <cp:lastPrinted>2019-02-13T18:10:00Z</cp:lastPrinted>
  <dcterms:created xsi:type="dcterms:W3CDTF">2018-12-07T09:59:00Z</dcterms:created>
  <dcterms:modified xsi:type="dcterms:W3CDTF">2019-02-13T18:32:00Z</dcterms:modified>
</cp:coreProperties>
</file>