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D7974" w14:textId="77777777" w:rsidR="005E242E" w:rsidRDefault="005E242E" w:rsidP="00B24CEF">
      <w:r>
        <w:t xml:space="preserve">Het College van Burgemeester en Wethouders van Gouda vraagt uw advies over het concept van de Beleidsregels </w:t>
      </w:r>
      <w:r w:rsidR="00845EBF">
        <w:t>Schuldhulpverlening</w:t>
      </w:r>
      <w:r>
        <w:t xml:space="preserve"> Gouda 2024. </w:t>
      </w:r>
    </w:p>
    <w:p w14:paraId="31D96308" w14:textId="77777777" w:rsidR="005E242E" w:rsidRDefault="005E242E" w:rsidP="005E242E"/>
    <w:p w14:paraId="7BB9088A" w14:textId="77777777" w:rsidR="00451B70" w:rsidRDefault="005E242E" w:rsidP="00F63EA4">
      <w:r w:rsidRPr="001B528D">
        <w:t xml:space="preserve">De </w:t>
      </w:r>
      <w:r w:rsidRPr="001B528D">
        <w:rPr>
          <w:i/>
        </w:rPr>
        <w:t xml:space="preserve">Beleidsregels </w:t>
      </w:r>
      <w:r w:rsidR="00845EBF">
        <w:rPr>
          <w:i/>
        </w:rPr>
        <w:t>Schuldhulpverlening</w:t>
      </w:r>
      <w:r w:rsidRPr="001B528D">
        <w:rPr>
          <w:i/>
        </w:rPr>
        <w:t xml:space="preserve"> Gouda 2024</w:t>
      </w:r>
      <w:r w:rsidRPr="001B528D">
        <w:t xml:space="preserve"> zijn opgesteld, met als doel </w:t>
      </w:r>
      <w:r>
        <w:t>nadere regels te stellen over de wijze waarop het college</w:t>
      </w:r>
      <w:r w:rsidR="00F63EA4">
        <w:t xml:space="preserve">. </w:t>
      </w:r>
      <w:r w:rsidR="00451B70">
        <w:t xml:space="preserve">De op dit moment geldende </w:t>
      </w:r>
      <w:r w:rsidR="00451B70" w:rsidRPr="007269CC">
        <w:t>Beleidsregels Schuldhulpverlening Gouda 2013</w:t>
      </w:r>
      <w:r w:rsidR="00451B70">
        <w:t xml:space="preserve"> zijn gedateerd. Het wettelijk kader is gewijzigd, schuldhulpverlening is breder toegankelijk en er is meer duidelijkheid over de termijn waarop inwoners van de gemeente Gouda reactie krijgen. </w:t>
      </w:r>
      <w:r w:rsidR="00451B70" w:rsidRPr="00451B70">
        <w:t>Met de beleidsregels wordt de rechtspositie van inwoners verbeterd en kan er meer aanspraak gemaakt worden op ondersteuning.</w:t>
      </w:r>
      <w:r w:rsidR="00F63EA4">
        <w:t xml:space="preserve"> </w:t>
      </w:r>
      <w:r w:rsidR="00451B70">
        <w:t>Ook worden de juiste juridische begrippen en termen gehanteerd en worden de richtlijnen van de branchevereniging voor schuldhulpverlening en financiële dienstverlening gevolgd (NVVK).</w:t>
      </w:r>
    </w:p>
    <w:p w14:paraId="04897FC9" w14:textId="77777777" w:rsidR="00AA7BB0" w:rsidRDefault="00AA7BB0" w:rsidP="005E242E"/>
    <w:p w14:paraId="29F7F9FE" w14:textId="77777777" w:rsidR="00921446" w:rsidRDefault="00921446" w:rsidP="00921446">
      <w:pPr>
        <w:rPr>
          <w:rFonts w:eastAsia="Times New Roman" w:cs="Times New Roman"/>
          <w:i/>
          <w:szCs w:val="20"/>
          <w:lang w:eastAsia="nl-NL"/>
        </w:rPr>
      </w:pPr>
      <w:r>
        <w:rPr>
          <w:rFonts w:eastAsia="Times New Roman" w:cs="Times New Roman"/>
          <w:i/>
          <w:szCs w:val="20"/>
          <w:lang w:eastAsia="nl-NL"/>
        </w:rPr>
        <w:t>Een overzicht van de i</w:t>
      </w:r>
      <w:r w:rsidRPr="00921446">
        <w:rPr>
          <w:rFonts w:eastAsia="Times New Roman" w:cs="Times New Roman"/>
          <w:i/>
          <w:szCs w:val="20"/>
          <w:lang w:eastAsia="nl-NL"/>
        </w:rPr>
        <w:t xml:space="preserve">nhoudelijke wijzigingen </w:t>
      </w:r>
    </w:p>
    <w:tbl>
      <w:tblPr>
        <w:tblStyle w:val="Tabelraster1"/>
        <w:tblW w:w="10343" w:type="dxa"/>
        <w:tblLook w:val="04A0" w:firstRow="1" w:lastRow="0" w:firstColumn="1" w:lastColumn="0" w:noHBand="0" w:noVBand="1"/>
      </w:tblPr>
      <w:tblGrid>
        <w:gridCol w:w="2172"/>
        <w:gridCol w:w="2040"/>
        <w:gridCol w:w="2373"/>
        <w:gridCol w:w="3758"/>
      </w:tblGrid>
      <w:tr w:rsidR="00580C61" w:rsidRPr="00580C61" w14:paraId="637D2E0A" w14:textId="77777777" w:rsidTr="00553588">
        <w:tc>
          <w:tcPr>
            <w:tcW w:w="1984" w:type="dxa"/>
          </w:tcPr>
          <w:p w14:paraId="293E530D" w14:textId="77777777" w:rsidR="00580C61" w:rsidRPr="00580C61" w:rsidRDefault="00580C61" w:rsidP="00580C61">
            <w:pPr>
              <w:rPr>
                <w:b/>
                <w:szCs w:val="20"/>
                <w:lang w:eastAsia="nl-NL"/>
              </w:rPr>
            </w:pPr>
            <w:r w:rsidRPr="00580C61">
              <w:rPr>
                <w:b/>
                <w:szCs w:val="20"/>
                <w:lang w:eastAsia="nl-NL"/>
              </w:rPr>
              <w:t xml:space="preserve">Thema: </w:t>
            </w:r>
          </w:p>
        </w:tc>
        <w:tc>
          <w:tcPr>
            <w:tcW w:w="2040" w:type="dxa"/>
          </w:tcPr>
          <w:p w14:paraId="5704E207" w14:textId="77777777" w:rsidR="00580C61" w:rsidRPr="00580C61" w:rsidRDefault="00580C61" w:rsidP="00580C61">
            <w:pPr>
              <w:rPr>
                <w:szCs w:val="20"/>
                <w:lang w:eastAsia="nl-NL"/>
              </w:rPr>
            </w:pPr>
            <w:proofErr w:type="spellStart"/>
            <w:r w:rsidRPr="00580C61">
              <w:rPr>
                <w:szCs w:val="20"/>
                <w:lang w:eastAsia="nl-NL"/>
              </w:rPr>
              <w:t>Beleidsregels</w:t>
            </w:r>
            <w:proofErr w:type="spellEnd"/>
            <w:r w:rsidRPr="00580C61">
              <w:rPr>
                <w:szCs w:val="20"/>
                <w:lang w:eastAsia="nl-NL"/>
              </w:rPr>
              <w:t xml:space="preserve"> 2013: </w:t>
            </w:r>
          </w:p>
        </w:tc>
        <w:tc>
          <w:tcPr>
            <w:tcW w:w="2040" w:type="dxa"/>
          </w:tcPr>
          <w:p w14:paraId="71600B3E" w14:textId="77777777" w:rsidR="00580C61" w:rsidRPr="00580C61" w:rsidRDefault="00580C61" w:rsidP="00580C61">
            <w:pPr>
              <w:rPr>
                <w:szCs w:val="20"/>
                <w:lang w:eastAsia="nl-NL"/>
              </w:rPr>
            </w:pPr>
            <w:proofErr w:type="spellStart"/>
            <w:r w:rsidRPr="00580C61">
              <w:rPr>
                <w:szCs w:val="20"/>
                <w:lang w:eastAsia="nl-NL"/>
              </w:rPr>
              <w:t>Beleidsregels</w:t>
            </w:r>
            <w:proofErr w:type="spellEnd"/>
            <w:r w:rsidRPr="00580C61">
              <w:rPr>
                <w:szCs w:val="20"/>
                <w:lang w:eastAsia="nl-NL"/>
              </w:rPr>
              <w:t xml:space="preserve"> 2024: </w:t>
            </w:r>
          </w:p>
        </w:tc>
        <w:tc>
          <w:tcPr>
            <w:tcW w:w="4279" w:type="dxa"/>
          </w:tcPr>
          <w:p w14:paraId="0C9C4E86" w14:textId="77777777" w:rsidR="00580C61" w:rsidRPr="00580C61" w:rsidRDefault="00580C61" w:rsidP="00580C61">
            <w:pPr>
              <w:rPr>
                <w:szCs w:val="20"/>
                <w:lang w:eastAsia="nl-NL"/>
              </w:rPr>
            </w:pPr>
            <w:proofErr w:type="spellStart"/>
            <w:r w:rsidRPr="00580C61">
              <w:rPr>
                <w:szCs w:val="20"/>
                <w:lang w:eastAsia="nl-NL"/>
              </w:rPr>
              <w:t>Uitleg</w:t>
            </w:r>
            <w:proofErr w:type="spellEnd"/>
          </w:p>
        </w:tc>
      </w:tr>
      <w:tr w:rsidR="00580C61" w:rsidRPr="00580C61" w14:paraId="32C39C6D" w14:textId="77777777" w:rsidTr="00553588">
        <w:tc>
          <w:tcPr>
            <w:tcW w:w="1984" w:type="dxa"/>
          </w:tcPr>
          <w:p w14:paraId="545C1AC9" w14:textId="77777777" w:rsidR="00580C61" w:rsidRPr="00580C61" w:rsidRDefault="00580C61" w:rsidP="00580C61">
            <w:pPr>
              <w:rPr>
                <w:b/>
                <w:szCs w:val="20"/>
                <w:lang w:eastAsia="nl-NL"/>
              </w:rPr>
            </w:pPr>
            <w:proofErr w:type="spellStart"/>
            <w:r w:rsidRPr="00580C61">
              <w:rPr>
                <w:b/>
                <w:szCs w:val="20"/>
                <w:lang w:eastAsia="nl-NL"/>
              </w:rPr>
              <w:t>Toegankelijke</w:t>
            </w:r>
            <w:proofErr w:type="spellEnd"/>
            <w:r w:rsidRPr="00580C61">
              <w:rPr>
                <w:b/>
                <w:szCs w:val="20"/>
                <w:lang w:eastAsia="nl-NL"/>
              </w:rPr>
              <w:t xml:space="preserve"> </w:t>
            </w:r>
            <w:proofErr w:type="spellStart"/>
            <w:r w:rsidRPr="00580C61">
              <w:rPr>
                <w:b/>
                <w:szCs w:val="20"/>
                <w:lang w:eastAsia="nl-NL"/>
              </w:rPr>
              <w:t>schuldhulpverlening</w:t>
            </w:r>
            <w:proofErr w:type="spellEnd"/>
          </w:p>
          <w:p w14:paraId="6C7C7319" w14:textId="77777777" w:rsidR="00580C61" w:rsidRPr="00580C61" w:rsidRDefault="00580C61" w:rsidP="00580C61">
            <w:pPr>
              <w:rPr>
                <w:b/>
                <w:szCs w:val="20"/>
                <w:lang w:eastAsia="nl-NL"/>
              </w:rPr>
            </w:pPr>
          </w:p>
        </w:tc>
        <w:tc>
          <w:tcPr>
            <w:tcW w:w="2040" w:type="dxa"/>
          </w:tcPr>
          <w:p w14:paraId="7D587D5D" w14:textId="77777777" w:rsidR="00580C61" w:rsidRPr="00580C61" w:rsidRDefault="00580C61" w:rsidP="00580C61">
            <w:pPr>
              <w:rPr>
                <w:szCs w:val="20"/>
                <w:lang w:val="nl-NL" w:eastAsia="nl-NL"/>
              </w:rPr>
            </w:pPr>
            <w:r w:rsidRPr="00580C61">
              <w:rPr>
                <w:szCs w:val="20"/>
                <w:lang w:val="nl-NL" w:eastAsia="nl-NL"/>
              </w:rPr>
              <w:t xml:space="preserve">Artikel 2: Geen schuldhulpverlening voor zelfstandigen, jongeren onder 18 jaar. Bij het treffen van een schuldregeling is een inkomen van minimaal de toepasselijke bijstandsnorm noodzakelijk. </w:t>
            </w:r>
          </w:p>
        </w:tc>
        <w:tc>
          <w:tcPr>
            <w:tcW w:w="2040" w:type="dxa"/>
          </w:tcPr>
          <w:p w14:paraId="46CE5F95" w14:textId="77777777" w:rsidR="00580C61" w:rsidRPr="00580C61" w:rsidRDefault="00580C61" w:rsidP="00580C61">
            <w:pPr>
              <w:rPr>
                <w:szCs w:val="20"/>
                <w:lang w:val="nl-NL" w:eastAsia="nl-NL"/>
              </w:rPr>
            </w:pPr>
            <w:r w:rsidRPr="00580C61">
              <w:rPr>
                <w:szCs w:val="20"/>
                <w:lang w:val="nl-NL" w:eastAsia="nl-NL"/>
              </w:rPr>
              <w:t xml:space="preserve">Artikel 2: Alle inwoners kunnen terecht voor schuldhulpverlening. </w:t>
            </w:r>
          </w:p>
        </w:tc>
        <w:tc>
          <w:tcPr>
            <w:tcW w:w="4279" w:type="dxa"/>
          </w:tcPr>
          <w:p w14:paraId="7635A846" w14:textId="77777777" w:rsidR="00580C61" w:rsidRPr="00580C61" w:rsidRDefault="00580C61" w:rsidP="00580C61">
            <w:pPr>
              <w:rPr>
                <w:szCs w:val="20"/>
                <w:lang w:val="nl-NL" w:eastAsia="nl-NL"/>
              </w:rPr>
            </w:pPr>
            <w:r w:rsidRPr="00580C61">
              <w:rPr>
                <w:szCs w:val="20"/>
                <w:lang w:val="nl-NL" w:eastAsia="nl-NL"/>
              </w:rPr>
              <w:t>Verbreding wettelijk kader.</w:t>
            </w:r>
          </w:p>
          <w:p w14:paraId="03857AC5" w14:textId="77777777" w:rsidR="00580C61" w:rsidRPr="00580C61" w:rsidRDefault="00580C61" w:rsidP="00580C61">
            <w:pPr>
              <w:rPr>
                <w:szCs w:val="20"/>
                <w:lang w:val="nl-NL" w:eastAsia="nl-NL"/>
              </w:rPr>
            </w:pPr>
            <w:r w:rsidRPr="00580C61">
              <w:rPr>
                <w:szCs w:val="20"/>
                <w:lang w:val="nl-NL" w:eastAsia="nl-NL"/>
              </w:rPr>
              <w:t xml:space="preserve">Passende hulp aan specifieke groepen wordt uitgelegd in de toelichting op de beleidsregels. </w:t>
            </w:r>
          </w:p>
        </w:tc>
      </w:tr>
      <w:tr w:rsidR="00580C61" w:rsidRPr="00580C61" w14:paraId="1859BF71" w14:textId="77777777" w:rsidTr="00553588">
        <w:tc>
          <w:tcPr>
            <w:tcW w:w="1984" w:type="dxa"/>
          </w:tcPr>
          <w:p w14:paraId="1554D8AB" w14:textId="77777777" w:rsidR="00580C61" w:rsidRPr="00580C61" w:rsidRDefault="00580C61" w:rsidP="00580C61">
            <w:pPr>
              <w:rPr>
                <w:b/>
                <w:szCs w:val="20"/>
                <w:lang w:val="nl-NL" w:eastAsia="nl-NL"/>
              </w:rPr>
            </w:pPr>
            <w:r w:rsidRPr="00580C61">
              <w:rPr>
                <w:b/>
                <w:szCs w:val="20"/>
                <w:lang w:val="nl-NL" w:eastAsia="nl-NL"/>
              </w:rPr>
              <w:t>Meer inzicht geven in het proces van schuldhulpverlening en het hulpaanbod</w:t>
            </w:r>
          </w:p>
          <w:p w14:paraId="7308CE24" w14:textId="77777777" w:rsidR="00580C61" w:rsidRPr="00580C61" w:rsidRDefault="00580C61" w:rsidP="00580C61">
            <w:pPr>
              <w:rPr>
                <w:b/>
                <w:szCs w:val="20"/>
                <w:lang w:val="nl-NL" w:eastAsia="nl-NL"/>
              </w:rPr>
            </w:pPr>
          </w:p>
        </w:tc>
        <w:tc>
          <w:tcPr>
            <w:tcW w:w="2040" w:type="dxa"/>
          </w:tcPr>
          <w:p w14:paraId="33D939DC" w14:textId="77777777" w:rsidR="00580C61" w:rsidRPr="00580C61" w:rsidRDefault="00580C61" w:rsidP="00580C61">
            <w:pPr>
              <w:rPr>
                <w:szCs w:val="20"/>
                <w:lang w:val="nl-NL" w:eastAsia="nl-NL"/>
              </w:rPr>
            </w:pPr>
            <w:r w:rsidRPr="00580C61">
              <w:rPr>
                <w:szCs w:val="20"/>
                <w:lang w:val="nl-NL" w:eastAsia="nl-NL"/>
              </w:rPr>
              <w:t xml:space="preserve">Artikel 3: Beperkte uitleg over het proces.  </w:t>
            </w:r>
          </w:p>
        </w:tc>
        <w:tc>
          <w:tcPr>
            <w:tcW w:w="2040" w:type="dxa"/>
          </w:tcPr>
          <w:p w14:paraId="2F8D6D49" w14:textId="77777777" w:rsidR="00580C61" w:rsidRPr="00580C61" w:rsidRDefault="00580C61" w:rsidP="00580C61">
            <w:pPr>
              <w:rPr>
                <w:szCs w:val="20"/>
                <w:lang w:val="nl-NL" w:eastAsia="nl-NL"/>
              </w:rPr>
            </w:pPr>
            <w:r w:rsidRPr="00580C61">
              <w:rPr>
                <w:szCs w:val="20"/>
                <w:lang w:val="nl-NL" w:eastAsia="nl-NL"/>
              </w:rPr>
              <w:t xml:space="preserve">Artikel 3 en 4: Meer uitleg over het proces en inzicht in de producten van schuldhulpverlening. </w:t>
            </w:r>
          </w:p>
          <w:p w14:paraId="5FA6647B" w14:textId="77777777" w:rsidR="00580C61" w:rsidRPr="00580C61" w:rsidRDefault="00580C61" w:rsidP="00580C61">
            <w:pPr>
              <w:rPr>
                <w:szCs w:val="20"/>
                <w:lang w:val="nl-NL" w:eastAsia="nl-NL"/>
              </w:rPr>
            </w:pPr>
            <w:r w:rsidRPr="00580C61">
              <w:rPr>
                <w:szCs w:val="20"/>
                <w:lang w:val="nl-NL" w:eastAsia="nl-NL"/>
              </w:rPr>
              <w:t xml:space="preserve">In principe wordt er bij schuldregelingstrajecten gekozen voor een saneringskrediet. </w:t>
            </w:r>
          </w:p>
          <w:p w14:paraId="0D69B028" w14:textId="77777777" w:rsidR="00580C61" w:rsidRPr="00580C61" w:rsidRDefault="00580C61" w:rsidP="00580C61">
            <w:pPr>
              <w:rPr>
                <w:szCs w:val="20"/>
                <w:lang w:val="nl-NL" w:eastAsia="nl-NL"/>
              </w:rPr>
            </w:pPr>
          </w:p>
        </w:tc>
        <w:tc>
          <w:tcPr>
            <w:tcW w:w="4279" w:type="dxa"/>
          </w:tcPr>
          <w:p w14:paraId="2A97B078" w14:textId="77777777" w:rsidR="00580C61" w:rsidRPr="00580C61" w:rsidRDefault="00580C61" w:rsidP="00580C61">
            <w:pPr>
              <w:rPr>
                <w:szCs w:val="20"/>
                <w:lang w:val="nl-NL" w:eastAsia="nl-NL"/>
              </w:rPr>
            </w:pPr>
            <w:r w:rsidRPr="00580C61">
              <w:rPr>
                <w:szCs w:val="20"/>
                <w:lang w:val="nl-NL" w:eastAsia="nl-NL"/>
              </w:rPr>
              <w:lastRenderedPageBreak/>
              <w:t xml:space="preserve">Bepalingen zijn opgenomen om meer inzicht te geven aan de inwoner. In navolging van de NVVK-norm communiceren de voorkeur voor een saneringskrediet bij het opstarten van een schuldregeling, zie toelichting op de beleidsregels. Deze werkwijze brengt veel rust voor inwoners en heeft </w:t>
            </w:r>
            <w:r w:rsidRPr="00580C61">
              <w:rPr>
                <w:szCs w:val="20"/>
                <w:lang w:val="nl-NL" w:eastAsia="nl-NL"/>
              </w:rPr>
              <w:lastRenderedPageBreak/>
              <w:t>een stress verlagend effect</w:t>
            </w:r>
            <w:r w:rsidRPr="00580C61">
              <w:rPr>
                <w:szCs w:val="20"/>
                <w:vertAlign w:val="superscript"/>
                <w:lang w:eastAsia="nl-NL"/>
              </w:rPr>
              <w:footnoteReference w:id="1"/>
            </w:r>
            <w:r w:rsidRPr="00580C61">
              <w:rPr>
                <w:szCs w:val="20"/>
                <w:lang w:val="nl-NL" w:eastAsia="nl-NL"/>
              </w:rPr>
              <w:t xml:space="preserve">, vooraf is duidelijk hoe hoog het aflossingsbedrag is gedurende de  looptijd van de regeling. </w:t>
            </w:r>
          </w:p>
        </w:tc>
      </w:tr>
      <w:tr w:rsidR="00580C61" w:rsidRPr="00580C61" w14:paraId="15F25841" w14:textId="77777777" w:rsidTr="00553588">
        <w:tc>
          <w:tcPr>
            <w:tcW w:w="1984" w:type="dxa"/>
          </w:tcPr>
          <w:p w14:paraId="46120F58" w14:textId="77777777" w:rsidR="00580C61" w:rsidRPr="00580C61" w:rsidRDefault="00580C61" w:rsidP="00580C61">
            <w:pPr>
              <w:rPr>
                <w:b/>
                <w:szCs w:val="20"/>
                <w:lang w:val="nl-NL" w:eastAsia="nl-NL"/>
              </w:rPr>
            </w:pPr>
            <w:r w:rsidRPr="00580C61">
              <w:rPr>
                <w:b/>
                <w:szCs w:val="20"/>
                <w:lang w:val="nl-NL" w:eastAsia="nl-NL"/>
              </w:rPr>
              <w:lastRenderedPageBreak/>
              <w:t xml:space="preserve">Ook bij fraude kijken we naar passende mogelijkheden voor ondersteuning.  </w:t>
            </w:r>
          </w:p>
        </w:tc>
        <w:tc>
          <w:tcPr>
            <w:tcW w:w="2040" w:type="dxa"/>
          </w:tcPr>
          <w:p w14:paraId="3DE36CC6" w14:textId="77777777" w:rsidR="00580C61" w:rsidRPr="00580C61" w:rsidRDefault="00580C61" w:rsidP="00580C61">
            <w:pPr>
              <w:rPr>
                <w:szCs w:val="20"/>
                <w:lang w:val="nl-NL" w:eastAsia="nl-NL"/>
              </w:rPr>
            </w:pPr>
            <w:r w:rsidRPr="00580C61">
              <w:rPr>
                <w:szCs w:val="20"/>
                <w:lang w:val="nl-NL" w:eastAsia="nl-NL"/>
              </w:rPr>
              <w:t>Artikel 5.3: Vermeldt de mogelijkheid om te beëindigen of te weigeren wanneer een inwoner een onherroepelijke veroordeling of bestuurlijke sanctie voor fraude is opgelegd.</w:t>
            </w:r>
          </w:p>
        </w:tc>
        <w:tc>
          <w:tcPr>
            <w:tcW w:w="2040" w:type="dxa"/>
          </w:tcPr>
          <w:p w14:paraId="58D0BE8C" w14:textId="77777777" w:rsidR="00580C61" w:rsidRPr="00580C61" w:rsidRDefault="00580C61" w:rsidP="00580C61">
            <w:pPr>
              <w:rPr>
                <w:szCs w:val="20"/>
                <w:lang w:eastAsia="nl-NL"/>
              </w:rPr>
            </w:pPr>
            <w:proofErr w:type="spellStart"/>
            <w:r w:rsidRPr="00580C61">
              <w:rPr>
                <w:szCs w:val="20"/>
                <w:lang w:eastAsia="nl-NL"/>
              </w:rPr>
              <w:t>Verwijderd</w:t>
            </w:r>
            <w:proofErr w:type="spellEnd"/>
          </w:p>
        </w:tc>
        <w:tc>
          <w:tcPr>
            <w:tcW w:w="4279" w:type="dxa"/>
          </w:tcPr>
          <w:p w14:paraId="5B2AD9CC" w14:textId="77777777" w:rsidR="00580C61" w:rsidRPr="00580C61" w:rsidRDefault="00580C61" w:rsidP="00580C61">
            <w:pPr>
              <w:rPr>
                <w:szCs w:val="20"/>
                <w:lang w:val="nl-NL" w:eastAsia="nl-NL"/>
              </w:rPr>
            </w:pPr>
            <w:r w:rsidRPr="00580C61">
              <w:rPr>
                <w:szCs w:val="20"/>
                <w:lang w:val="nl-NL" w:eastAsia="nl-NL"/>
              </w:rPr>
              <w:t xml:space="preserve">Huidige bepaling wordt in praktijk niet gebruikt. Er wordt altijd gekeken naar de situatie van de inwoner. Ook wanneer er niet saneerbare schulden zijn wordt er gewerkt aan verbetering van financiële stabiliteit. Er zijn wel mogelijkheden tot beëindigen, bijvoorbeeld wanneer een inwoner onjuiste informatie geeft of informatie achterhoudt. </w:t>
            </w:r>
          </w:p>
        </w:tc>
      </w:tr>
      <w:tr w:rsidR="00580C61" w:rsidRPr="00580C61" w14:paraId="3167DAAC" w14:textId="77777777" w:rsidTr="00553588">
        <w:tc>
          <w:tcPr>
            <w:tcW w:w="1984" w:type="dxa"/>
          </w:tcPr>
          <w:p w14:paraId="0D3073BB" w14:textId="77777777" w:rsidR="00580C61" w:rsidRPr="00580C61" w:rsidRDefault="00580C61" w:rsidP="00580C61">
            <w:pPr>
              <w:rPr>
                <w:b/>
                <w:szCs w:val="20"/>
                <w:lang w:val="nl-NL" w:eastAsia="nl-NL"/>
              </w:rPr>
            </w:pPr>
            <w:r w:rsidRPr="00580C61">
              <w:rPr>
                <w:b/>
                <w:szCs w:val="20"/>
                <w:lang w:val="nl-NL" w:eastAsia="nl-NL"/>
              </w:rPr>
              <w:t xml:space="preserve">Weigeringsgronden afschaffen, afwijzen van verzoeken is voldoende voor effectieve uitvoering. </w:t>
            </w:r>
          </w:p>
        </w:tc>
        <w:tc>
          <w:tcPr>
            <w:tcW w:w="2040" w:type="dxa"/>
          </w:tcPr>
          <w:p w14:paraId="16D496AA" w14:textId="77777777" w:rsidR="00580C61" w:rsidRPr="00580C61" w:rsidRDefault="00580C61" w:rsidP="00580C61">
            <w:pPr>
              <w:rPr>
                <w:szCs w:val="20"/>
                <w:lang w:val="nl-NL" w:eastAsia="nl-NL"/>
              </w:rPr>
            </w:pPr>
            <w:r w:rsidRPr="00580C61">
              <w:rPr>
                <w:szCs w:val="20"/>
                <w:lang w:val="nl-NL" w:eastAsia="nl-NL"/>
              </w:rPr>
              <w:t xml:space="preserve">Artikel 7: Bij een hernieuwde aanvraag kunnen inwoners worden geweigerd bij een hernieuwde aanvraag en voor een periode van één of twee jaar worden uitgesloten van schuldhulpverlening. In het merendeel van de situaties wordt nog wel Informatie en Advies geleverd. </w:t>
            </w:r>
          </w:p>
        </w:tc>
        <w:tc>
          <w:tcPr>
            <w:tcW w:w="2040" w:type="dxa"/>
          </w:tcPr>
          <w:p w14:paraId="74A4C767" w14:textId="77777777" w:rsidR="00580C61" w:rsidRPr="00580C61" w:rsidRDefault="00580C61" w:rsidP="00580C61">
            <w:pPr>
              <w:rPr>
                <w:szCs w:val="20"/>
                <w:lang w:val="nl-NL" w:eastAsia="nl-NL"/>
              </w:rPr>
            </w:pPr>
            <w:r w:rsidRPr="00580C61">
              <w:rPr>
                <w:szCs w:val="20"/>
                <w:lang w:val="nl-NL" w:eastAsia="nl-NL"/>
              </w:rPr>
              <w:t xml:space="preserve">Artikel 7: Een aanmeldgesprek is voor iedereen toegankelijk. </w:t>
            </w:r>
          </w:p>
          <w:p w14:paraId="7082BDD7" w14:textId="77777777" w:rsidR="00580C61" w:rsidRPr="00580C61" w:rsidRDefault="00580C61" w:rsidP="00580C61">
            <w:pPr>
              <w:rPr>
                <w:szCs w:val="20"/>
                <w:lang w:val="nl-NL" w:eastAsia="nl-NL"/>
              </w:rPr>
            </w:pPr>
            <w:r w:rsidRPr="00580C61">
              <w:rPr>
                <w:szCs w:val="20"/>
                <w:lang w:val="nl-NL" w:eastAsia="nl-NL"/>
              </w:rPr>
              <w:t xml:space="preserve">Afwijzen is mogelijk wanneer schuldhulpverlening niet passend is. </w:t>
            </w:r>
          </w:p>
          <w:p w14:paraId="62B9D205" w14:textId="77777777" w:rsidR="00580C61" w:rsidRPr="00580C61" w:rsidRDefault="00580C61" w:rsidP="00580C61">
            <w:pPr>
              <w:rPr>
                <w:szCs w:val="20"/>
                <w:lang w:val="nl-NL" w:eastAsia="nl-NL"/>
              </w:rPr>
            </w:pPr>
          </w:p>
        </w:tc>
        <w:tc>
          <w:tcPr>
            <w:tcW w:w="4279" w:type="dxa"/>
          </w:tcPr>
          <w:p w14:paraId="0DBAFFD5" w14:textId="77777777" w:rsidR="00580C61" w:rsidRPr="00580C61" w:rsidRDefault="00580C61" w:rsidP="00580C61">
            <w:pPr>
              <w:rPr>
                <w:szCs w:val="20"/>
                <w:lang w:val="nl-NL" w:eastAsia="nl-NL"/>
              </w:rPr>
            </w:pPr>
            <w:r w:rsidRPr="00580C61">
              <w:rPr>
                <w:szCs w:val="20"/>
                <w:lang w:val="nl-NL" w:eastAsia="nl-NL"/>
              </w:rPr>
              <w:t xml:space="preserve">Huidige bepaling is niet passend. </w:t>
            </w:r>
          </w:p>
          <w:p w14:paraId="59F54513" w14:textId="77777777" w:rsidR="00580C61" w:rsidRPr="00580C61" w:rsidRDefault="00580C61" w:rsidP="00580C61">
            <w:pPr>
              <w:rPr>
                <w:szCs w:val="20"/>
                <w:lang w:val="nl-NL" w:eastAsia="nl-NL"/>
              </w:rPr>
            </w:pPr>
            <w:r w:rsidRPr="00580C61">
              <w:rPr>
                <w:szCs w:val="20"/>
                <w:lang w:val="nl-NL" w:eastAsia="nl-NL"/>
              </w:rPr>
              <w:t xml:space="preserve">Formeel is er geen sprake van een weigering, wanneer er Informatie en Advies wordt aangeboden. Daarnaast wordt in de praktijk geen gebruik gemaakt van dit artikel.  Schuldhulpverlening is laagdrempelig toegankelijk, ongeacht of iemand herhaaldelijk gebruik maakt van deze hulpverlening. In Gouda is de dagelijkse praktijk om altijd in gesprek te gaan over de situatie, ook als hulp eerder niet (meer) passend was. Op deze manier wordt preventief gewerkt om terugval tegen te gaan en problematische schulden in een later stadium te voorkomen. Voor een effectieve inzet van schuldhulpverlening zijn de mogelijkheden tot afwijzing voldoende. </w:t>
            </w:r>
          </w:p>
        </w:tc>
      </w:tr>
    </w:tbl>
    <w:p w14:paraId="783CBA1E" w14:textId="77777777" w:rsidR="00580C61" w:rsidRPr="00580C61" w:rsidRDefault="00580C61" w:rsidP="00921446">
      <w:pPr>
        <w:rPr>
          <w:rFonts w:eastAsia="Times New Roman" w:cs="Times New Roman"/>
          <w:szCs w:val="20"/>
          <w:lang w:eastAsia="nl-NL"/>
        </w:rPr>
      </w:pPr>
    </w:p>
    <w:p w14:paraId="4CBD1599" w14:textId="77777777" w:rsidR="005E242E" w:rsidRDefault="005E242E" w:rsidP="00B24CEF"/>
    <w:p w14:paraId="0CF25C70" w14:textId="77777777" w:rsidR="005E242E" w:rsidRDefault="00845EBF" w:rsidP="00B24CEF">
      <w:r>
        <w:t>Mevrouw Y.</w:t>
      </w:r>
      <w:r w:rsidR="00921446">
        <w:t xml:space="preserve"> M.</w:t>
      </w:r>
      <w:r>
        <w:t xml:space="preserve"> </w:t>
      </w:r>
      <w:proofErr w:type="spellStart"/>
      <w:r>
        <w:t>Yuen</w:t>
      </w:r>
      <w:proofErr w:type="spellEnd"/>
      <w:r>
        <w:t xml:space="preserve"> (</w:t>
      </w:r>
      <w:r w:rsidR="005E242E">
        <w:t xml:space="preserve">beleidsadviseur) is graag bereid om de beleidsregels aan u toe te lichten en uw vragen te beantwoorden. </w:t>
      </w:r>
    </w:p>
    <w:p w14:paraId="48D0DD99" w14:textId="77777777" w:rsidR="005E242E" w:rsidRDefault="005E242E" w:rsidP="00B24CEF"/>
    <w:p w14:paraId="0FD2172B" w14:textId="77777777" w:rsidR="00921446" w:rsidRDefault="005E242E" w:rsidP="00B24CEF">
      <w:r>
        <w:t xml:space="preserve">In de bijlage sturen wij u </w:t>
      </w:r>
    </w:p>
    <w:p w14:paraId="09CF8545" w14:textId="77777777" w:rsidR="005E242E" w:rsidRDefault="005E242E" w:rsidP="00921446">
      <w:pPr>
        <w:pStyle w:val="Lijstalinea"/>
        <w:numPr>
          <w:ilvl w:val="0"/>
          <w:numId w:val="1"/>
        </w:numPr>
      </w:pPr>
      <w:r>
        <w:t xml:space="preserve">het concept van de Beleidsregels </w:t>
      </w:r>
      <w:r w:rsidR="00921446">
        <w:t>Schuldhulpverlening</w:t>
      </w:r>
      <w:r>
        <w:t xml:space="preserve"> Gouda 2024.</w:t>
      </w:r>
    </w:p>
    <w:p w14:paraId="793867D4" w14:textId="77777777" w:rsidR="005E242E" w:rsidRDefault="005E242E" w:rsidP="00B24CEF"/>
    <w:p w14:paraId="03F41FF6" w14:textId="77777777" w:rsidR="00871817" w:rsidRDefault="005E242E" w:rsidP="00B24CEF">
      <w:r>
        <w:t>Graag zouden wij uiterlijk</w:t>
      </w:r>
      <w:r w:rsidR="000F6954">
        <w:t xml:space="preserve"> </w:t>
      </w:r>
      <w:r w:rsidR="00355B32">
        <w:t xml:space="preserve">binnen </w:t>
      </w:r>
      <w:r w:rsidR="005C59AA">
        <w:t>8 weken</w:t>
      </w:r>
      <w:r w:rsidR="00375502">
        <w:t xml:space="preserve"> uw advies ontvangen</w:t>
      </w:r>
      <w:r>
        <w:t xml:space="preserve">. Voor meer informatie kunt u contact opnemen met </w:t>
      </w:r>
      <w:r w:rsidR="00921446">
        <w:t xml:space="preserve">mevrouw Y. M. </w:t>
      </w:r>
      <w:proofErr w:type="spellStart"/>
      <w:r w:rsidR="00921446">
        <w:t>Yuen</w:t>
      </w:r>
      <w:proofErr w:type="spellEnd"/>
      <w:r>
        <w:t xml:space="preserve"> via </w:t>
      </w:r>
      <w:r w:rsidR="00921446">
        <w:t>yeemee.yuen</w:t>
      </w:r>
      <w:r>
        <w:t>@gouda.nl of via 06-43385</w:t>
      </w:r>
      <w:r w:rsidR="00921446">
        <w:t>451</w:t>
      </w:r>
      <w:r>
        <w:t>.</w:t>
      </w:r>
    </w:p>
    <w:p w14:paraId="477AE23B" w14:textId="77777777" w:rsidR="00871817" w:rsidRDefault="00871817" w:rsidP="00B24CEF"/>
    <w:p w14:paraId="5045BE4F" w14:textId="77777777" w:rsidR="00871817" w:rsidRDefault="005E242E" w:rsidP="00B24CEF">
      <w:r>
        <w:t>Met vriendelijke groet,</w:t>
      </w:r>
    </w:p>
    <w:p w14:paraId="1EA2C47A" w14:textId="77777777" w:rsidR="00871817" w:rsidRDefault="00871817"/>
    <w:p w14:paraId="655845C0" w14:textId="77777777" w:rsidR="00871817" w:rsidRDefault="005E242E">
      <w:r>
        <w:t>Burgemeester en wethouders van Gouda,</w:t>
      </w:r>
    </w:p>
    <w:tbl>
      <w:tblPr>
        <w:tblStyle w:val="Tabelraste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93"/>
        <w:gridCol w:w="6377"/>
      </w:tblGrid>
      <w:tr w:rsidR="00790390" w14:paraId="71B955FE" w14:textId="77777777" w:rsidTr="00E877A4">
        <w:tc>
          <w:tcPr>
            <w:tcW w:w="2694" w:type="dxa"/>
          </w:tcPr>
          <w:p w14:paraId="0678B0E4" w14:textId="77777777" w:rsidR="00871817" w:rsidRDefault="005E242E">
            <w:r>
              <w:t xml:space="preserve">de </w:t>
            </w:r>
            <w:proofErr w:type="spellStart"/>
            <w:r>
              <w:t>secretaris</w:t>
            </w:r>
            <w:proofErr w:type="spellEnd"/>
            <w:r>
              <w:t>,</w:t>
            </w:r>
          </w:p>
        </w:tc>
        <w:tc>
          <w:tcPr>
            <w:tcW w:w="6378" w:type="dxa"/>
          </w:tcPr>
          <w:p w14:paraId="5F26E202" w14:textId="77777777" w:rsidR="00871817" w:rsidRDefault="005E242E">
            <w:r>
              <w:t xml:space="preserve">de </w:t>
            </w:r>
            <w:proofErr w:type="spellStart"/>
            <w:r>
              <w:t>burgemeester</w:t>
            </w:r>
            <w:proofErr w:type="spellEnd"/>
            <w:r>
              <w:t>,</w:t>
            </w:r>
          </w:p>
        </w:tc>
      </w:tr>
      <w:tr w:rsidR="00790390" w14:paraId="7C01607F" w14:textId="77777777" w:rsidTr="00E877A4">
        <w:trPr>
          <w:trHeight w:val="966"/>
        </w:trPr>
        <w:tc>
          <w:tcPr>
            <w:tcW w:w="2694" w:type="dxa"/>
          </w:tcPr>
          <w:p w14:paraId="6E24E75C" w14:textId="77777777" w:rsidR="00871817" w:rsidRDefault="00871817"/>
        </w:tc>
        <w:tc>
          <w:tcPr>
            <w:tcW w:w="6378" w:type="dxa"/>
          </w:tcPr>
          <w:p w14:paraId="18CC9874" w14:textId="77777777" w:rsidR="00871817" w:rsidRDefault="00871817"/>
        </w:tc>
      </w:tr>
      <w:tr w:rsidR="00790390" w14:paraId="6735E286" w14:textId="77777777" w:rsidTr="00E877A4">
        <w:tc>
          <w:tcPr>
            <w:tcW w:w="2694" w:type="dxa"/>
          </w:tcPr>
          <w:p w14:paraId="5BDFD77B" w14:textId="77777777" w:rsidR="00871817" w:rsidRDefault="005E242E">
            <w:proofErr w:type="spellStart"/>
            <w:r>
              <w:t>drs.</w:t>
            </w:r>
            <w:proofErr w:type="spellEnd"/>
            <w:r>
              <w:t xml:space="preserve"> R.C. Bakker</w:t>
            </w:r>
          </w:p>
        </w:tc>
        <w:tc>
          <w:tcPr>
            <w:tcW w:w="6378" w:type="dxa"/>
          </w:tcPr>
          <w:p w14:paraId="355A6087" w14:textId="77777777" w:rsidR="00871817" w:rsidRDefault="005E242E">
            <w:proofErr w:type="spellStart"/>
            <w:r>
              <w:t>mr.</w:t>
            </w:r>
            <w:proofErr w:type="spellEnd"/>
            <w:r>
              <w:t xml:space="preserve"> </w:t>
            </w:r>
            <w:proofErr w:type="spellStart"/>
            <w:r>
              <w:t>drs.</w:t>
            </w:r>
            <w:proofErr w:type="spellEnd"/>
            <w:r>
              <w:t xml:space="preserve"> P. </w:t>
            </w:r>
            <w:proofErr w:type="spellStart"/>
            <w:r>
              <w:t>Verhoeve</w:t>
            </w:r>
            <w:proofErr w:type="spellEnd"/>
          </w:p>
        </w:tc>
      </w:tr>
    </w:tbl>
    <w:p w14:paraId="19401376" w14:textId="77777777" w:rsidR="00871817" w:rsidRDefault="00871817" w:rsidP="00B24CEF"/>
    <w:sectPr w:rsidR="00A1394A" w:rsidSect="00AD226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1247" w:footer="0"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163A8" w14:textId="77777777" w:rsidR="002F748F" w:rsidRDefault="002F748F">
      <w:r>
        <w:separator/>
      </w:r>
    </w:p>
  </w:endnote>
  <w:endnote w:type="continuationSeparator" w:id="0">
    <w:p w14:paraId="5004B6C1" w14:textId="77777777" w:rsidR="002F748F" w:rsidRDefault="002F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2DA9" w14:textId="77777777" w:rsidR="00AB7231" w:rsidRDefault="00AB72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790390" w14:paraId="4102FE75" w14:textId="77777777" w:rsidTr="00FD2636">
      <w:trPr>
        <w:trHeight w:val="595"/>
      </w:trPr>
      <w:tc>
        <w:tcPr>
          <w:tcW w:w="6056" w:type="dxa"/>
        </w:tcPr>
        <w:p w14:paraId="665D9DA7" w14:textId="77777777" w:rsidR="00871817" w:rsidRDefault="00871817" w:rsidP="00AD2269">
          <w:pPr>
            <w:snapToGrid w:val="0"/>
            <w:contextualSpacing/>
            <w:rPr>
              <w:sz w:val="14"/>
              <w:szCs w:val="14"/>
            </w:rPr>
          </w:pPr>
        </w:p>
      </w:tc>
      <w:tc>
        <w:tcPr>
          <w:tcW w:w="255" w:type="dxa"/>
        </w:tcPr>
        <w:p w14:paraId="3075FF16" w14:textId="77777777" w:rsidR="00871817" w:rsidRPr="00CA7519" w:rsidRDefault="005E242E" w:rsidP="00AD2269">
          <w:pPr>
            <w:snapToGrid w:val="0"/>
            <w:contextualSpacing/>
            <w:rPr>
              <w:sz w:val="16"/>
            </w:rPr>
          </w:pPr>
          <w:r>
            <w:rPr>
              <w:noProof/>
              <w:lang w:eastAsia="nl-NL"/>
            </w:rPr>
            <mc:AlternateContent>
              <mc:Choice Requires="wps">
                <w:drawing>
                  <wp:anchor distT="0" distB="0" distL="114300" distR="114300" simplePos="0" relativeHeight="251659264" behindDoc="0" locked="0" layoutInCell="1" allowOverlap="1" wp14:anchorId="1DDB5106" wp14:editId="01C017D2">
                    <wp:simplePos x="0" y="0"/>
                    <wp:positionH relativeFrom="leftMargin">
                      <wp:posOffset>146685</wp:posOffset>
                    </wp:positionH>
                    <wp:positionV relativeFrom="topMargin">
                      <wp:posOffset>-2540</wp:posOffset>
                    </wp:positionV>
                    <wp:extent cx="2277745" cy="233680"/>
                    <wp:effectExtent l="3810" t="0" r="4445"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9AFA" w14:textId="77777777" w:rsidR="00871817" w:rsidRPr="00DB157A" w:rsidRDefault="005E242E" w:rsidP="00AD2269">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sidR="00AB7231">
                                  <w:rPr>
                                    <w:noProof/>
                                    <w:sz w:val="14"/>
                                    <w:szCs w:val="14"/>
                                  </w:rPr>
                                  <w:t>2</w:t>
                                </w:r>
                                <w:r w:rsidRPr="00D30F8E">
                                  <w:rPr>
                                    <w:sz w:val="14"/>
                                    <w:szCs w:val="14"/>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0B188" id="_x0000_t202" coordsize="21600,21600" o:spt="202" path="m,l,21600r21600,l21600,xe">
                    <v:stroke joinstyle="miter"/>
                    <v:path gradientshapeok="t" o:connecttype="rect"/>
                  </v:shapetype>
                  <v:shape id="Text Box 1025" o:spid="_x0000_s1026" type="#_x0000_t202" style="position:absolute;margin-left:11.55pt;margin-top:-.2pt;width:179.35pt;height:18.4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Z7sgIAAKw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" filled="f" stroked="f">
                    <v:textbox inset="0,0,0,0">
                      <w:txbxContent>
                        <w:p w:rsidR="00AD2269" w:rsidRPr="00DB157A" w:rsidRDefault="005E242E" w:rsidP="00AD2269">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sidR="00AB7231">
                            <w:rPr>
                              <w:noProof/>
                              <w:sz w:val="14"/>
                              <w:szCs w:val="14"/>
                            </w:rPr>
                            <w:t>2</w:t>
                          </w:r>
                          <w:r w:rsidRPr="00D30F8E">
                            <w:rPr>
                              <w:sz w:val="14"/>
                              <w:szCs w:val="14"/>
                            </w:rPr>
                            <w:fldChar w:fldCharType="end"/>
                          </w:r>
                        </w:p>
                      </w:txbxContent>
                    </v:textbox>
                    <w10:wrap anchorx="margin" anchory="margin"/>
                  </v:shape>
                </w:pict>
              </mc:Fallback>
            </mc:AlternateContent>
          </w:r>
        </w:p>
      </w:tc>
      <w:tc>
        <w:tcPr>
          <w:tcW w:w="3045" w:type="dxa"/>
        </w:tcPr>
        <w:p w14:paraId="39C7CCA7" w14:textId="77777777" w:rsidR="00871817" w:rsidRPr="001627A8" w:rsidRDefault="00871817" w:rsidP="00AD2269">
          <w:pPr>
            <w:snapToGrid w:val="0"/>
            <w:contextualSpacing/>
            <w:rPr>
              <w:i/>
              <w:sz w:val="14"/>
              <w:szCs w:val="14"/>
            </w:rPr>
          </w:pPr>
        </w:p>
      </w:tc>
    </w:tr>
  </w:tbl>
  <w:p w14:paraId="2AE8958A" w14:textId="77777777" w:rsidR="00871817" w:rsidRPr="00AD2269" w:rsidRDefault="008718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835E" w14:textId="77777777" w:rsidR="00871817" w:rsidRPr="006E067E" w:rsidRDefault="00871817" w:rsidP="006033D7">
    <w:pPr>
      <w:pStyle w:val="Voettekst"/>
      <w:rPr>
        <w:sz w:val="8"/>
        <w:szCs w:val="8"/>
      </w:rPr>
    </w:pPr>
  </w:p>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790390" w14:paraId="6C312169" w14:textId="77777777" w:rsidTr="00FD2636">
      <w:trPr>
        <w:trHeight w:val="595"/>
      </w:trPr>
      <w:tc>
        <w:tcPr>
          <w:tcW w:w="6056" w:type="dxa"/>
        </w:tcPr>
        <w:p w14:paraId="20FB7D19" w14:textId="77777777" w:rsidR="00871817" w:rsidRDefault="00871817" w:rsidP="00AD2269">
          <w:pPr>
            <w:snapToGrid w:val="0"/>
            <w:contextualSpacing/>
            <w:rPr>
              <w:sz w:val="14"/>
              <w:szCs w:val="14"/>
            </w:rPr>
          </w:pPr>
        </w:p>
        <w:p w14:paraId="6AFAFAA7" w14:textId="77777777" w:rsidR="00871817" w:rsidRPr="002F5990" w:rsidRDefault="005E242E" w:rsidP="00AD2269">
          <w:pPr>
            <w:tabs>
              <w:tab w:val="left" w:pos="1344"/>
            </w:tabs>
            <w:rPr>
              <w:sz w:val="14"/>
              <w:szCs w:val="14"/>
            </w:rPr>
          </w:pPr>
          <w:r>
            <w:rPr>
              <w:sz w:val="14"/>
              <w:szCs w:val="14"/>
            </w:rPr>
            <w:tab/>
          </w:r>
        </w:p>
      </w:tc>
      <w:tc>
        <w:tcPr>
          <w:tcW w:w="255" w:type="dxa"/>
        </w:tcPr>
        <w:p w14:paraId="396EB8F4" w14:textId="77777777" w:rsidR="00871817" w:rsidRDefault="005E242E" w:rsidP="00AD2269">
          <w:pPr>
            <w:snapToGrid w:val="0"/>
            <w:contextualSpacing/>
            <w:rPr>
              <w:noProof/>
            </w:rPr>
          </w:pPr>
          <w:r>
            <w:rPr>
              <w:noProof/>
              <w:lang w:eastAsia="nl-NL"/>
            </w:rPr>
            <mc:AlternateContent>
              <mc:Choice Requires="wps">
                <w:drawing>
                  <wp:anchor distT="0" distB="0" distL="114300" distR="114300" simplePos="0" relativeHeight="251658240" behindDoc="0" locked="0" layoutInCell="1" allowOverlap="1" wp14:anchorId="415E8617" wp14:editId="624B000A">
                    <wp:simplePos x="0" y="0"/>
                    <wp:positionH relativeFrom="leftMargin">
                      <wp:posOffset>146685</wp:posOffset>
                    </wp:positionH>
                    <wp:positionV relativeFrom="topMargin">
                      <wp:posOffset>6350</wp:posOffset>
                    </wp:positionV>
                    <wp:extent cx="2277745" cy="233680"/>
                    <wp:effectExtent l="3810" t="0" r="444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CA10" w14:textId="77777777" w:rsidR="00871817" w:rsidRPr="00DB157A" w:rsidRDefault="00871817" w:rsidP="00AD2269">
                                <w:pPr>
                                  <w:tabs>
                                    <w:tab w:val="left" w:pos="142"/>
                                  </w:tabs>
                                  <w:contextualSpacing/>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0B189" id="_x0000_t202" coordsize="21600,21600" o:spt="202" path="m,l,21600r21600,l21600,xe">
                    <v:stroke joinstyle="miter"/>
                    <v:path gradientshapeok="t" o:connecttype="rect"/>
                  </v:shapetype>
                  <v:shape id="Text Box 1026" o:spid="_x0000_s1027" type="#_x0000_t202" style="position:absolute;margin-left:11.55pt;margin-top:.5pt;width:179.35pt;height:18.4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3/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" filled="f" stroked="f">
                    <v:textbox inset="0,0,0,0">
                      <w:txbxContent>
                        <w:p w:rsidR="00AD2269" w:rsidRPr="00DB157A" w:rsidRDefault="00580C61" w:rsidP="00AD2269">
                          <w:pPr>
                            <w:tabs>
                              <w:tab w:val="left" w:pos="142"/>
                            </w:tabs>
                            <w:contextualSpacing/>
                            <w:rPr>
                              <w:sz w:val="14"/>
                              <w:szCs w:val="14"/>
                            </w:rPr>
                          </w:pPr>
                        </w:p>
                      </w:txbxContent>
                    </v:textbox>
                    <w10:wrap anchorx="margin" anchory="margin"/>
                  </v:shape>
                </w:pict>
              </mc:Fallback>
            </mc:AlternateContent>
          </w:r>
        </w:p>
      </w:tc>
      <w:tc>
        <w:tcPr>
          <w:tcW w:w="3045" w:type="dxa"/>
        </w:tcPr>
        <w:p w14:paraId="67BA2BD9" w14:textId="77777777" w:rsidR="00871817" w:rsidRPr="001627A8" w:rsidRDefault="00871817" w:rsidP="00AD2269">
          <w:pPr>
            <w:snapToGrid w:val="0"/>
            <w:contextualSpacing/>
            <w:rPr>
              <w:i/>
              <w:sz w:val="14"/>
              <w:szCs w:val="14"/>
            </w:rPr>
          </w:pPr>
        </w:p>
      </w:tc>
    </w:tr>
  </w:tbl>
  <w:p w14:paraId="33DBA378" w14:textId="77777777" w:rsidR="00871817" w:rsidRPr="006033D7" w:rsidRDefault="00871817" w:rsidP="006033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D256" w14:textId="77777777" w:rsidR="002F748F" w:rsidRDefault="002F748F">
      <w:r>
        <w:separator/>
      </w:r>
    </w:p>
  </w:footnote>
  <w:footnote w:type="continuationSeparator" w:id="0">
    <w:p w14:paraId="13E39A28" w14:textId="77777777" w:rsidR="002F748F" w:rsidRDefault="002F748F">
      <w:r>
        <w:continuationSeparator/>
      </w:r>
    </w:p>
  </w:footnote>
  <w:footnote w:id="1">
    <w:p w14:paraId="724D6EC0" w14:textId="77777777" w:rsidR="00580C61" w:rsidRDefault="00580C61" w:rsidP="00580C61">
      <w:pPr>
        <w:pStyle w:val="Voetnoottekst"/>
      </w:pPr>
      <w:r>
        <w:rPr>
          <w:rStyle w:val="Voetnootmarkering"/>
        </w:rPr>
        <w:footnoteRef/>
      </w:r>
      <w:r>
        <w:t xml:space="preserve"> Verdere uitleg over het </w:t>
      </w:r>
      <w:r w:rsidRPr="00D17B82">
        <w:t>proces</w:t>
      </w:r>
      <w:r>
        <w:t xml:space="preserve"> van</w:t>
      </w:r>
      <w:r w:rsidRPr="00D17B82">
        <w:t xml:space="preserve"> schuldhulpverlening en de inzet van het saneringskrediet wordt gegeven in de raadsmemo ‘Schuldhulpverlening Gouda inzet saneringskrediet’ van 19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CDEF" w14:textId="77777777" w:rsidR="00AB7231" w:rsidRDefault="00AB72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E136" w14:textId="77777777" w:rsidR="00AB7231" w:rsidRDefault="00AB72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70" w:type="dxa"/>
      </w:tblCellMar>
      <w:tblLook w:val="0000" w:firstRow="0" w:lastRow="0" w:firstColumn="0" w:lastColumn="0" w:noHBand="0" w:noVBand="0"/>
    </w:tblPr>
    <w:tblGrid>
      <w:gridCol w:w="2863"/>
      <w:gridCol w:w="259"/>
      <w:gridCol w:w="2934"/>
      <w:gridCol w:w="255"/>
      <w:gridCol w:w="3045"/>
    </w:tblGrid>
    <w:tr w:rsidR="00790390" w14:paraId="39EFB4D4" w14:textId="77777777" w:rsidTr="00AD2269">
      <w:trPr>
        <w:trHeight w:val="955"/>
      </w:trPr>
      <w:tc>
        <w:tcPr>
          <w:tcW w:w="6056" w:type="dxa"/>
          <w:gridSpan w:val="3"/>
        </w:tcPr>
        <w:p w14:paraId="7D67DF68" w14:textId="77777777" w:rsidR="00871817" w:rsidRPr="006033D7" w:rsidRDefault="00871817" w:rsidP="00D96BEE">
          <w:pPr>
            <w:rPr>
              <w:rFonts w:eastAsia="Times New Roman"/>
            </w:rPr>
          </w:pPr>
        </w:p>
      </w:tc>
      <w:tc>
        <w:tcPr>
          <w:tcW w:w="255" w:type="dxa"/>
        </w:tcPr>
        <w:p w14:paraId="14F2A26D" w14:textId="77777777" w:rsidR="00871817" w:rsidRPr="006033D7" w:rsidRDefault="00871817" w:rsidP="00D96BEE">
          <w:pPr>
            <w:rPr>
              <w:rFonts w:eastAsia="Times New Roman"/>
            </w:rPr>
          </w:pPr>
        </w:p>
      </w:tc>
      <w:tc>
        <w:tcPr>
          <w:tcW w:w="3045" w:type="dxa"/>
        </w:tcPr>
        <w:p w14:paraId="3B4DFD00" w14:textId="77777777" w:rsidR="00871817" w:rsidRPr="005B6FD0" w:rsidRDefault="00871817" w:rsidP="00C809CA"/>
      </w:tc>
    </w:tr>
    <w:tr w:rsidR="00790390" w14:paraId="7B598F38" w14:textId="77777777" w:rsidTr="00AD2269">
      <w:trPr>
        <w:trHeight w:val="283"/>
      </w:trPr>
      <w:tc>
        <w:tcPr>
          <w:tcW w:w="6056" w:type="dxa"/>
          <w:gridSpan w:val="3"/>
        </w:tcPr>
        <w:p w14:paraId="3BF8FBF6" w14:textId="77777777" w:rsidR="00871817" w:rsidRPr="006033D7" w:rsidRDefault="00871817" w:rsidP="00D96BEE">
          <w:pPr>
            <w:snapToGrid w:val="0"/>
            <w:contextualSpacing/>
            <w:rPr>
              <w:rFonts w:eastAsia="Times New Roman"/>
              <w:sz w:val="16"/>
            </w:rPr>
          </w:pPr>
        </w:p>
      </w:tc>
      <w:tc>
        <w:tcPr>
          <w:tcW w:w="255" w:type="dxa"/>
        </w:tcPr>
        <w:p w14:paraId="59E6E921" w14:textId="77777777" w:rsidR="00871817" w:rsidRPr="006033D7" w:rsidRDefault="00871817" w:rsidP="00D96BEE">
          <w:pPr>
            <w:snapToGrid w:val="0"/>
            <w:contextualSpacing/>
            <w:rPr>
              <w:rFonts w:eastAsia="Times New Roman"/>
              <w:sz w:val="16"/>
            </w:rPr>
          </w:pPr>
        </w:p>
      </w:tc>
      <w:tc>
        <w:tcPr>
          <w:tcW w:w="3045" w:type="dxa"/>
        </w:tcPr>
        <w:p w14:paraId="0A8A6BE3" w14:textId="77777777" w:rsidR="00871817" w:rsidRPr="006033D7" w:rsidRDefault="00871817" w:rsidP="00D96BEE">
          <w:pPr>
            <w:snapToGrid w:val="0"/>
            <w:contextualSpacing/>
            <w:rPr>
              <w:rFonts w:eastAsia="Times New Roman"/>
              <w:sz w:val="16"/>
            </w:rPr>
          </w:pPr>
        </w:p>
      </w:tc>
    </w:tr>
    <w:tr w:rsidR="00790390" w14:paraId="17E6B7A6" w14:textId="77777777" w:rsidTr="00AD2269">
      <w:trPr>
        <w:trHeight w:val="283"/>
      </w:trPr>
      <w:tc>
        <w:tcPr>
          <w:tcW w:w="6056" w:type="dxa"/>
          <w:gridSpan w:val="3"/>
        </w:tcPr>
        <w:p w14:paraId="35D85A8B" w14:textId="77777777" w:rsidR="00871817" w:rsidRDefault="00871817" w:rsidP="00D96BEE">
          <w:pPr>
            <w:snapToGrid w:val="0"/>
            <w:contextualSpacing/>
            <w:rPr>
              <w:rFonts w:eastAsia="Times New Roman"/>
            </w:rPr>
          </w:pPr>
        </w:p>
        <w:p w14:paraId="4816626F" w14:textId="77777777" w:rsidR="00871817" w:rsidRDefault="00871817" w:rsidP="00D96BEE">
          <w:pPr>
            <w:snapToGrid w:val="0"/>
            <w:contextualSpacing/>
            <w:rPr>
              <w:rFonts w:eastAsia="Times New Roman"/>
            </w:rPr>
          </w:pPr>
        </w:p>
        <w:p w14:paraId="1DCB114C" w14:textId="77777777" w:rsidR="00871817" w:rsidRPr="00B41996" w:rsidRDefault="005E242E" w:rsidP="00AD2269">
          <w:pPr>
            <w:snapToGrid w:val="0"/>
            <w:contextualSpacing/>
            <w:rPr>
              <w:rFonts w:eastAsia="Times New Roman"/>
            </w:rPr>
          </w:pPr>
          <w:r>
            <w:rPr>
              <w:rFonts w:eastAsia="Times New Roman"/>
            </w:rPr>
            <w:t>Aan Goudse Adviesraad Sociaal Domein</w:t>
          </w:r>
        </w:p>
        <w:p w14:paraId="12634357" w14:textId="77777777" w:rsidR="00790390" w:rsidRDefault="00790390" w:rsidP="00AD2269">
          <w:pPr>
            <w:snapToGrid w:val="0"/>
            <w:contextualSpacing/>
            <w:rPr>
              <w:rFonts w:eastAsia="Times New Roman" w:cs="Times New Roman"/>
              <w:bdr w:val="nil"/>
            </w:rPr>
          </w:pPr>
        </w:p>
        <w:p w14:paraId="051B12F6" w14:textId="77777777" w:rsidR="00871817" w:rsidRDefault="00871817" w:rsidP="00D96BEE">
          <w:pPr>
            <w:snapToGrid w:val="0"/>
            <w:contextualSpacing/>
            <w:rPr>
              <w:rFonts w:eastAsia="Times New Roman"/>
            </w:rPr>
          </w:pPr>
        </w:p>
        <w:p w14:paraId="7AB31D3D" w14:textId="77777777" w:rsidR="00871817" w:rsidRDefault="00871817" w:rsidP="00D96BEE">
          <w:pPr>
            <w:snapToGrid w:val="0"/>
            <w:contextualSpacing/>
            <w:rPr>
              <w:rFonts w:eastAsia="Times New Roman"/>
            </w:rPr>
          </w:pPr>
        </w:p>
        <w:p w14:paraId="44759E01" w14:textId="77777777" w:rsidR="00871817" w:rsidRDefault="00871817" w:rsidP="00D96BEE">
          <w:pPr>
            <w:snapToGrid w:val="0"/>
            <w:contextualSpacing/>
            <w:rPr>
              <w:rFonts w:eastAsia="Times New Roman"/>
            </w:rPr>
          </w:pPr>
        </w:p>
        <w:p w14:paraId="6F3B551E" w14:textId="77777777" w:rsidR="00871817" w:rsidRDefault="00871817" w:rsidP="00D96BEE">
          <w:pPr>
            <w:snapToGrid w:val="0"/>
            <w:contextualSpacing/>
            <w:rPr>
              <w:rFonts w:eastAsia="Times New Roman"/>
            </w:rPr>
          </w:pPr>
        </w:p>
        <w:p w14:paraId="523D480C" w14:textId="77777777" w:rsidR="00871817" w:rsidRDefault="00871817" w:rsidP="00D96BEE">
          <w:pPr>
            <w:snapToGrid w:val="0"/>
            <w:contextualSpacing/>
            <w:rPr>
              <w:rFonts w:eastAsia="Times New Roman"/>
            </w:rPr>
          </w:pPr>
        </w:p>
        <w:p w14:paraId="1401E0C9" w14:textId="77777777" w:rsidR="00871817" w:rsidRDefault="00871817" w:rsidP="00D96BEE">
          <w:pPr>
            <w:snapToGrid w:val="0"/>
            <w:contextualSpacing/>
            <w:rPr>
              <w:rFonts w:eastAsia="Times New Roman"/>
            </w:rPr>
          </w:pPr>
        </w:p>
        <w:p w14:paraId="27192C21" w14:textId="77777777" w:rsidR="00871817" w:rsidRPr="00AD2269" w:rsidRDefault="00871817" w:rsidP="00D96BEE">
          <w:pPr>
            <w:snapToGrid w:val="0"/>
            <w:contextualSpacing/>
            <w:rPr>
              <w:rFonts w:eastAsia="Times New Roman"/>
            </w:rPr>
          </w:pPr>
        </w:p>
      </w:tc>
      <w:tc>
        <w:tcPr>
          <w:tcW w:w="255" w:type="dxa"/>
        </w:tcPr>
        <w:p w14:paraId="0BBEAECE" w14:textId="77777777" w:rsidR="00871817" w:rsidRPr="006033D7" w:rsidRDefault="00871817" w:rsidP="00D96BEE">
          <w:pPr>
            <w:snapToGrid w:val="0"/>
            <w:contextualSpacing/>
            <w:rPr>
              <w:rFonts w:eastAsia="Times New Roman"/>
              <w:sz w:val="16"/>
            </w:rPr>
          </w:pPr>
        </w:p>
      </w:tc>
      <w:tc>
        <w:tcPr>
          <w:tcW w:w="3045" w:type="dxa"/>
        </w:tcPr>
        <w:p w14:paraId="2D44CCE2" w14:textId="77777777" w:rsidR="00871817" w:rsidRDefault="00871817" w:rsidP="00AD2269">
          <w:pPr>
            <w:snapToGrid w:val="0"/>
            <w:contextualSpacing/>
          </w:pPr>
        </w:p>
        <w:p w14:paraId="4374CED8" w14:textId="77777777" w:rsidR="00871817" w:rsidRDefault="00871817" w:rsidP="00AD2269">
          <w:pPr>
            <w:snapToGrid w:val="0"/>
            <w:contextualSpacing/>
          </w:pPr>
        </w:p>
        <w:p w14:paraId="73301F04" w14:textId="77777777" w:rsidR="00871817" w:rsidRPr="00DB157A" w:rsidRDefault="005E242E" w:rsidP="00AD2269">
          <w:pPr>
            <w:snapToGrid w:val="0"/>
            <w:contextualSpacing/>
            <w:rPr>
              <w:b/>
              <w:sz w:val="14"/>
              <w:szCs w:val="14"/>
            </w:rPr>
          </w:pPr>
          <w:r w:rsidRPr="00DB157A">
            <w:rPr>
              <w:b/>
              <w:sz w:val="14"/>
              <w:szCs w:val="14"/>
            </w:rPr>
            <w:t>Bezoekadres</w:t>
          </w:r>
        </w:p>
        <w:p w14:paraId="1822C189" w14:textId="77777777" w:rsidR="00871817" w:rsidRDefault="005E242E" w:rsidP="00AD2269">
          <w:pPr>
            <w:snapToGrid w:val="0"/>
            <w:contextualSpacing/>
            <w:rPr>
              <w:sz w:val="14"/>
              <w:szCs w:val="14"/>
            </w:rPr>
          </w:pPr>
          <w:r w:rsidRPr="00DB157A">
            <w:rPr>
              <w:sz w:val="14"/>
              <w:szCs w:val="14"/>
            </w:rPr>
            <w:t>Huis van de Stad, Burgemeester Jamesplein 1</w:t>
          </w:r>
        </w:p>
        <w:p w14:paraId="08675999" w14:textId="77777777" w:rsidR="00871817" w:rsidRDefault="00871817" w:rsidP="00AD2269">
          <w:pPr>
            <w:snapToGrid w:val="0"/>
            <w:contextualSpacing/>
            <w:rPr>
              <w:sz w:val="16"/>
              <w:szCs w:val="16"/>
            </w:rPr>
          </w:pPr>
        </w:p>
        <w:p w14:paraId="7FE4F83A" w14:textId="77777777" w:rsidR="00871817" w:rsidRPr="00DB157A" w:rsidRDefault="005E242E" w:rsidP="00AD2269">
          <w:pPr>
            <w:snapToGrid w:val="0"/>
            <w:contextualSpacing/>
            <w:rPr>
              <w:b/>
              <w:sz w:val="14"/>
              <w:szCs w:val="14"/>
            </w:rPr>
          </w:pPr>
          <w:r w:rsidRPr="00DB157A">
            <w:rPr>
              <w:b/>
              <w:sz w:val="14"/>
              <w:szCs w:val="14"/>
            </w:rPr>
            <w:t>Postadres</w:t>
          </w:r>
        </w:p>
        <w:p w14:paraId="0E13CB60" w14:textId="77777777" w:rsidR="00871817" w:rsidRPr="00DB157A" w:rsidRDefault="005E242E" w:rsidP="00AD2269">
          <w:pPr>
            <w:snapToGrid w:val="0"/>
            <w:contextualSpacing/>
            <w:rPr>
              <w:sz w:val="14"/>
              <w:szCs w:val="14"/>
            </w:rPr>
          </w:pPr>
          <w:r>
            <w:rPr>
              <w:sz w:val="14"/>
              <w:szCs w:val="14"/>
            </w:rPr>
            <w:t>Postbus 1086, 2800 BB Gouda</w:t>
          </w:r>
        </w:p>
        <w:p w14:paraId="286DD08F" w14:textId="77777777" w:rsidR="00871817" w:rsidRPr="006033D7" w:rsidRDefault="00871817" w:rsidP="00D96BEE">
          <w:pPr>
            <w:snapToGrid w:val="0"/>
            <w:contextualSpacing/>
            <w:rPr>
              <w:rFonts w:eastAsia="Times New Roman"/>
              <w:sz w:val="16"/>
            </w:rPr>
          </w:pPr>
        </w:p>
      </w:tc>
    </w:tr>
    <w:tr w:rsidR="00790390" w14:paraId="770FA918" w14:textId="77777777" w:rsidTr="00AD2269">
      <w:trPr>
        <w:trHeight w:val="482"/>
      </w:trPr>
      <w:tc>
        <w:tcPr>
          <w:tcW w:w="2863" w:type="dxa"/>
        </w:tcPr>
        <w:p w14:paraId="0920098A" w14:textId="77777777" w:rsidR="00871817" w:rsidRDefault="005E242E" w:rsidP="00C3478A">
          <w:pPr>
            <w:snapToGrid w:val="0"/>
            <w:contextualSpacing/>
            <w:rPr>
              <w:rFonts w:ascii="Times New Roman" w:hAnsi="Times New Roman" w:cs="Times New Roman"/>
              <w:sz w:val="24"/>
              <w:szCs w:val="24"/>
            </w:rPr>
          </w:pPr>
          <w:r w:rsidRPr="005B6FD0">
            <w:rPr>
              <w:rFonts w:eastAsia="Times New Roman"/>
              <w:sz w:val="14"/>
              <w:szCs w:val="14"/>
            </w:rPr>
            <w:t>afdeling</w:t>
          </w:r>
          <w:r>
            <w:rPr>
              <w:rFonts w:ascii="Times New Roman" w:hAnsi="Times New Roman" w:cs="Times New Roman"/>
              <w:sz w:val="24"/>
              <w:szCs w:val="24"/>
            </w:rPr>
            <w:t xml:space="preserve"> </w:t>
          </w:r>
        </w:p>
        <w:p w14:paraId="2D1AA962" w14:textId="77777777" w:rsidR="00871817" w:rsidRPr="00C3478A" w:rsidRDefault="005E242E" w:rsidP="00572119">
          <w:pPr>
            <w:rPr>
              <w:rFonts w:eastAsia="Times New Roman"/>
              <w:szCs w:val="20"/>
            </w:rPr>
          </w:pPr>
          <w:r>
            <w:rPr>
              <w:noProof/>
            </w:rPr>
            <w:t>Maatschappelijk beleid</w:t>
          </w:r>
        </w:p>
      </w:tc>
      <w:tc>
        <w:tcPr>
          <w:tcW w:w="259" w:type="dxa"/>
        </w:tcPr>
        <w:p w14:paraId="72E0DB8E" w14:textId="77777777" w:rsidR="00871817" w:rsidRPr="00F26B20" w:rsidRDefault="00871817" w:rsidP="00D96BEE">
          <w:pPr>
            <w:snapToGrid w:val="0"/>
            <w:contextualSpacing/>
            <w:rPr>
              <w:rFonts w:eastAsia="Times New Roman"/>
              <w:sz w:val="16"/>
            </w:rPr>
          </w:pPr>
        </w:p>
      </w:tc>
      <w:tc>
        <w:tcPr>
          <w:tcW w:w="2934" w:type="dxa"/>
        </w:tcPr>
        <w:p w14:paraId="3753D750" w14:textId="77777777" w:rsidR="00871817" w:rsidRPr="005B6FD0" w:rsidRDefault="005E242E" w:rsidP="00D96BEE">
          <w:pPr>
            <w:snapToGrid w:val="0"/>
            <w:contextualSpacing/>
            <w:rPr>
              <w:rFonts w:eastAsia="Times New Roman"/>
              <w:sz w:val="14"/>
              <w:szCs w:val="14"/>
            </w:rPr>
          </w:pPr>
          <w:r w:rsidRPr="005B6FD0">
            <w:rPr>
              <w:rFonts w:eastAsia="Times New Roman"/>
              <w:sz w:val="14"/>
              <w:szCs w:val="14"/>
            </w:rPr>
            <w:t>telefoon</w:t>
          </w:r>
        </w:p>
        <w:p w14:paraId="2677F44D" w14:textId="77777777" w:rsidR="00871817" w:rsidRPr="00F26B20" w:rsidRDefault="00F63EA4" w:rsidP="00572119">
          <w:r>
            <w:t>06-43385451</w:t>
          </w:r>
        </w:p>
      </w:tc>
      <w:tc>
        <w:tcPr>
          <w:tcW w:w="255" w:type="dxa"/>
        </w:tcPr>
        <w:p w14:paraId="62E3F873" w14:textId="77777777" w:rsidR="00871817" w:rsidRPr="00F26B20" w:rsidRDefault="00871817" w:rsidP="00D96BEE">
          <w:pPr>
            <w:snapToGrid w:val="0"/>
            <w:contextualSpacing/>
            <w:rPr>
              <w:rFonts w:eastAsia="Times New Roman"/>
              <w:sz w:val="16"/>
            </w:rPr>
          </w:pPr>
        </w:p>
      </w:tc>
      <w:tc>
        <w:tcPr>
          <w:tcW w:w="3045" w:type="dxa"/>
        </w:tcPr>
        <w:p w14:paraId="5EBF42BF" w14:textId="77777777" w:rsidR="00871817" w:rsidRPr="005B6FD0" w:rsidRDefault="005E242E" w:rsidP="0077614B">
          <w:pPr>
            <w:pStyle w:val="Geenafstand"/>
            <w:rPr>
              <w:rFonts w:ascii="Arial" w:hAnsi="Arial" w:cs="Arial"/>
              <w:sz w:val="14"/>
              <w:szCs w:val="14"/>
            </w:rPr>
          </w:pPr>
          <w:proofErr w:type="spellStart"/>
          <w:r>
            <w:rPr>
              <w:rFonts w:ascii="Arial" w:hAnsi="Arial" w:cs="Arial"/>
              <w:sz w:val="14"/>
              <w:szCs w:val="14"/>
            </w:rPr>
            <w:t>g</w:t>
          </w:r>
          <w:r w:rsidRPr="005B6FD0">
            <w:rPr>
              <w:rFonts w:ascii="Arial" w:hAnsi="Arial" w:cs="Arial"/>
              <w:sz w:val="14"/>
              <w:szCs w:val="14"/>
            </w:rPr>
            <w:t>ouda</w:t>
          </w:r>
          <w:proofErr w:type="spellEnd"/>
        </w:p>
        <w:p w14:paraId="6A707399" w14:textId="77777777" w:rsidR="00871817" w:rsidRPr="00F26B20" w:rsidRDefault="00AB7231" w:rsidP="00572119">
          <w:r>
            <w:t>4 juni 2024</w:t>
          </w:r>
        </w:p>
      </w:tc>
    </w:tr>
    <w:tr w:rsidR="00790390" w14:paraId="6AF91C64" w14:textId="77777777" w:rsidTr="00AD2269">
      <w:trPr>
        <w:trHeight w:val="482"/>
      </w:trPr>
      <w:tc>
        <w:tcPr>
          <w:tcW w:w="2863" w:type="dxa"/>
        </w:tcPr>
        <w:p w14:paraId="2ED6E8DE" w14:textId="77777777" w:rsidR="00871817" w:rsidRPr="005B6FD0" w:rsidRDefault="005E242E" w:rsidP="00D96BEE">
          <w:pPr>
            <w:snapToGrid w:val="0"/>
            <w:contextualSpacing/>
            <w:rPr>
              <w:rFonts w:eastAsia="Times New Roman"/>
              <w:sz w:val="14"/>
              <w:szCs w:val="14"/>
            </w:rPr>
          </w:pPr>
          <w:r w:rsidRPr="005B6FD0">
            <w:rPr>
              <w:rFonts w:eastAsia="Times New Roman"/>
              <w:sz w:val="14"/>
              <w:szCs w:val="14"/>
            </w:rPr>
            <w:t>contactpersoon</w:t>
          </w:r>
        </w:p>
        <w:p w14:paraId="05B05CE7" w14:textId="77777777" w:rsidR="00871817" w:rsidRPr="00F26B20" w:rsidRDefault="00F63EA4" w:rsidP="007709AA">
          <w:r>
            <w:t xml:space="preserve">Y.M. </w:t>
          </w:r>
          <w:proofErr w:type="spellStart"/>
          <w:r>
            <w:t>Yuen</w:t>
          </w:r>
          <w:proofErr w:type="spellEnd"/>
        </w:p>
      </w:tc>
      <w:tc>
        <w:tcPr>
          <w:tcW w:w="259" w:type="dxa"/>
        </w:tcPr>
        <w:p w14:paraId="59E8ABA2" w14:textId="77777777" w:rsidR="00871817" w:rsidRPr="00F26B20" w:rsidRDefault="00871817" w:rsidP="00D96BEE">
          <w:pPr>
            <w:snapToGrid w:val="0"/>
            <w:contextualSpacing/>
            <w:rPr>
              <w:rFonts w:eastAsia="Times New Roman"/>
              <w:sz w:val="16"/>
            </w:rPr>
          </w:pPr>
        </w:p>
      </w:tc>
      <w:tc>
        <w:tcPr>
          <w:tcW w:w="2934" w:type="dxa"/>
        </w:tcPr>
        <w:p w14:paraId="4E0D5C03" w14:textId="77777777" w:rsidR="00871817" w:rsidRPr="005B6FD0" w:rsidRDefault="005E242E" w:rsidP="00D96BEE">
          <w:pPr>
            <w:snapToGrid w:val="0"/>
            <w:contextualSpacing/>
            <w:rPr>
              <w:rFonts w:eastAsia="Times New Roman"/>
              <w:sz w:val="14"/>
              <w:szCs w:val="14"/>
            </w:rPr>
          </w:pPr>
          <w:r w:rsidRPr="005B6FD0">
            <w:rPr>
              <w:rFonts w:eastAsia="Times New Roman"/>
              <w:sz w:val="14"/>
              <w:szCs w:val="14"/>
            </w:rPr>
            <w:t>uw kenmerk</w:t>
          </w:r>
        </w:p>
        <w:p w14:paraId="718FCA16" w14:textId="77777777" w:rsidR="00871817" w:rsidRPr="00F26B20" w:rsidRDefault="005E242E" w:rsidP="00572119">
          <w:r>
            <w:t>-</w:t>
          </w:r>
        </w:p>
      </w:tc>
      <w:tc>
        <w:tcPr>
          <w:tcW w:w="255" w:type="dxa"/>
        </w:tcPr>
        <w:p w14:paraId="34489685" w14:textId="77777777" w:rsidR="00871817" w:rsidRPr="00F26B20" w:rsidRDefault="00871817" w:rsidP="00D96BEE">
          <w:pPr>
            <w:snapToGrid w:val="0"/>
            <w:contextualSpacing/>
            <w:rPr>
              <w:rFonts w:eastAsia="Times New Roman"/>
              <w:sz w:val="16"/>
            </w:rPr>
          </w:pPr>
        </w:p>
      </w:tc>
      <w:tc>
        <w:tcPr>
          <w:tcW w:w="3045" w:type="dxa"/>
        </w:tcPr>
        <w:p w14:paraId="5FC32EC7" w14:textId="77777777" w:rsidR="00871817" w:rsidRPr="005B6FD0" w:rsidRDefault="005E242E" w:rsidP="00D96BEE">
          <w:pPr>
            <w:snapToGrid w:val="0"/>
            <w:contextualSpacing/>
            <w:rPr>
              <w:rFonts w:eastAsia="Times New Roman"/>
              <w:sz w:val="14"/>
              <w:szCs w:val="14"/>
            </w:rPr>
          </w:pPr>
          <w:r>
            <w:rPr>
              <w:rFonts w:eastAsia="Times New Roman"/>
              <w:sz w:val="14"/>
              <w:szCs w:val="14"/>
            </w:rPr>
            <w:t>zaaknummer</w:t>
          </w:r>
        </w:p>
        <w:p w14:paraId="5DE6668D" w14:textId="77777777" w:rsidR="00871817" w:rsidRPr="00F26B20" w:rsidRDefault="00375502" w:rsidP="00572119">
          <w:r>
            <w:t>8280</w:t>
          </w:r>
        </w:p>
      </w:tc>
    </w:tr>
    <w:tr w:rsidR="00790390" w14:paraId="7907E2DC" w14:textId="77777777" w:rsidTr="00AD2269">
      <w:trPr>
        <w:trHeight w:val="459"/>
      </w:trPr>
      <w:tc>
        <w:tcPr>
          <w:tcW w:w="6056" w:type="dxa"/>
          <w:gridSpan w:val="3"/>
        </w:tcPr>
        <w:p w14:paraId="71C31B1E" w14:textId="77777777" w:rsidR="00871817" w:rsidRPr="005B6FD0" w:rsidRDefault="005E242E" w:rsidP="00D96BEE">
          <w:pPr>
            <w:snapToGrid w:val="0"/>
            <w:contextualSpacing/>
            <w:rPr>
              <w:rFonts w:eastAsia="Times New Roman"/>
              <w:sz w:val="14"/>
              <w:szCs w:val="14"/>
            </w:rPr>
          </w:pPr>
          <w:r w:rsidRPr="005B6FD0">
            <w:rPr>
              <w:rFonts w:eastAsia="Times New Roman"/>
              <w:sz w:val="14"/>
              <w:szCs w:val="14"/>
            </w:rPr>
            <w:t>onderwerp</w:t>
          </w:r>
        </w:p>
        <w:p w14:paraId="64F4323A" w14:textId="77777777" w:rsidR="00871817" w:rsidRPr="00F26B20" w:rsidRDefault="005E242E" w:rsidP="00845EBF">
          <w:r>
            <w:t>Adviesvraag concept Beleidsregels</w:t>
          </w:r>
          <w:r w:rsidR="00845EBF">
            <w:t xml:space="preserve"> Schuldhulpverlening</w:t>
          </w:r>
          <w:r>
            <w:t xml:space="preserve"> Gouda 2024</w:t>
          </w:r>
        </w:p>
      </w:tc>
      <w:tc>
        <w:tcPr>
          <w:tcW w:w="255" w:type="dxa"/>
        </w:tcPr>
        <w:p w14:paraId="0737BD4E" w14:textId="77777777" w:rsidR="00871817" w:rsidRPr="00F26B20" w:rsidRDefault="00871817" w:rsidP="00D96BEE">
          <w:pPr>
            <w:snapToGrid w:val="0"/>
            <w:contextualSpacing/>
            <w:rPr>
              <w:rFonts w:eastAsia="Times New Roman"/>
              <w:sz w:val="16"/>
            </w:rPr>
          </w:pPr>
        </w:p>
      </w:tc>
      <w:tc>
        <w:tcPr>
          <w:tcW w:w="3045" w:type="dxa"/>
        </w:tcPr>
        <w:p w14:paraId="006611D6" w14:textId="77777777" w:rsidR="00871817" w:rsidRPr="005B6FD0" w:rsidRDefault="005E242E" w:rsidP="00D96BEE">
          <w:pPr>
            <w:snapToGrid w:val="0"/>
            <w:contextualSpacing/>
            <w:rPr>
              <w:rFonts w:eastAsia="Times New Roman"/>
              <w:sz w:val="14"/>
              <w:szCs w:val="14"/>
            </w:rPr>
          </w:pPr>
          <w:r w:rsidRPr="005B6FD0">
            <w:rPr>
              <w:rFonts w:eastAsia="Times New Roman"/>
              <w:sz w:val="14"/>
              <w:szCs w:val="14"/>
            </w:rPr>
            <w:t>verzonden</w:t>
          </w:r>
        </w:p>
        <w:p w14:paraId="66C6F091" w14:textId="77777777" w:rsidR="00871817" w:rsidRPr="00B23DA3" w:rsidRDefault="005C59AA" w:rsidP="00B41996">
          <w:r>
            <w:t>4 juni 2024</w:t>
          </w:r>
        </w:p>
      </w:tc>
    </w:tr>
  </w:tbl>
  <w:p w14:paraId="3E9707A2" w14:textId="77777777" w:rsidR="00871817" w:rsidRDefault="00871817" w:rsidP="00D33DCF">
    <w:pPr>
      <w:pStyle w:val="Koptekst"/>
    </w:pPr>
  </w:p>
  <w:p w14:paraId="430CB97A" w14:textId="77777777" w:rsidR="00871817" w:rsidRDefault="005E242E" w:rsidP="00D93B82">
    <w:r>
      <w:t>Geachte voorzitter en leden van de Goudse Adviesraad Sociaal Domein,</w:t>
    </w:r>
  </w:p>
  <w:p w14:paraId="5A345F2D" w14:textId="77777777" w:rsidR="005E242E" w:rsidRDefault="005E242E" w:rsidP="00D93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E4C6A"/>
    <w:multiLevelType w:val="hybridMultilevel"/>
    <w:tmpl w:val="459AB5F4"/>
    <w:lvl w:ilvl="0" w:tplc="A2C265C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A836CF"/>
    <w:multiLevelType w:val="multilevel"/>
    <w:tmpl w:val="C554B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4536254">
    <w:abstractNumId w:val="0"/>
  </w:num>
  <w:num w:numId="2" w16cid:durableId="153623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390"/>
    <w:rsid w:val="000125F8"/>
    <w:rsid w:val="00071841"/>
    <w:rsid w:val="000F6954"/>
    <w:rsid w:val="00295BD4"/>
    <w:rsid w:val="002F748F"/>
    <w:rsid w:val="00355B32"/>
    <w:rsid w:val="00375502"/>
    <w:rsid w:val="00451B70"/>
    <w:rsid w:val="00550C64"/>
    <w:rsid w:val="00580C61"/>
    <w:rsid w:val="005C59AA"/>
    <w:rsid w:val="005E242E"/>
    <w:rsid w:val="00790390"/>
    <w:rsid w:val="007E090A"/>
    <w:rsid w:val="00845EBF"/>
    <w:rsid w:val="00871817"/>
    <w:rsid w:val="00921446"/>
    <w:rsid w:val="009F735A"/>
    <w:rsid w:val="00AA7BB0"/>
    <w:rsid w:val="00AB7231"/>
    <w:rsid w:val="00AF7154"/>
    <w:rsid w:val="00B25F71"/>
    <w:rsid w:val="00BC2B0B"/>
    <w:rsid w:val="00C805E7"/>
    <w:rsid w:val="00DB66FE"/>
    <w:rsid w:val="00EF7C4A"/>
    <w:rsid w:val="00F63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77906A"/>
  <w15:docId w15:val="{0F082077-B165-4F1C-92B1-99B039D4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22A"/>
    <w:pPr>
      <w:spacing w:after="0" w:line="240" w:lineRule="auto"/>
    </w:pPr>
    <w:rPr>
      <w:rFonts w:ascii="Arial" w:hAnsi="Arial"/>
      <w:sz w:val="20"/>
    </w:rPr>
  </w:style>
  <w:style w:type="paragraph" w:styleId="Kop1">
    <w:name w:val="heading 1"/>
    <w:basedOn w:val="Standaard"/>
    <w:next w:val="Standaard"/>
    <w:link w:val="Kop1Char"/>
    <w:uiPriority w:val="9"/>
    <w:qFormat/>
    <w:rsid w:val="00DD02D8"/>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semiHidden/>
    <w:unhideWhenUsed/>
    <w:qFormat/>
    <w:rsid w:val="00DD02D8"/>
    <w:pPr>
      <w:keepNext/>
      <w:keepLines/>
      <w:spacing w:before="20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33D7"/>
    <w:pPr>
      <w:tabs>
        <w:tab w:val="center" w:pos="4536"/>
        <w:tab w:val="right" w:pos="9072"/>
      </w:tabs>
    </w:pPr>
  </w:style>
  <w:style w:type="character" w:customStyle="1" w:styleId="KoptekstChar">
    <w:name w:val="Koptekst Char"/>
    <w:basedOn w:val="Standaardalinea-lettertype"/>
    <w:link w:val="Koptekst"/>
    <w:uiPriority w:val="99"/>
    <w:rsid w:val="006033D7"/>
  </w:style>
  <w:style w:type="paragraph" w:styleId="Voettekst">
    <w:name w:val="footer"/>
    <w:basedOn w:val="Standaard"/>
    <w:link w:val="VoettekstChar"/>
    <w:uiPriority w:val="99"/>
    <w:unhideWhenUsed/>
    <w:rsid w:val="006033D7"/>
    <w:pPr>
      <w:tabs>
        <w:tab w:val="center" w:pos="4536"/>
        <w:tab w:val="right" w:pos="9072"/>
      </w:tabs>
    </w:pPr>
  </w:style>
  <w:style w:type="character" w:customStyle="1" w:styleId="VoettekstChar">
    <w:name w:val="Voettekst Char"/>
    <w:basedOn w:val="Standaardalinea-lettertype"/>
    <w:link w:val="Voettekst"/>
    <w:uiPriority w:val="99"/>
    <w:rsid w:val="006033D7"/>
  </w:style>
  <w:style w:type="paragraph" w:customStyle="1" w:styleId="GDAReferentieadres">
    <w:name w:val="GDA Referentieadres"/>
    <w:basedOn w:val="Standaard"/>
    <w:qFormat/>
    <w:rsid w:val="006033D7"/>
    <w:pPr>
      <w:snapToGrid w:val="0"/>
      <w:contextualSpacing/>
    </w:pPr>
    <w:rPr>
      <w:rFonts w:eastAsia="Times New Roman"/>
    </w:rPr>
  </w:style>
  <w:style w:type="paragraph" w:customStyle="1" w:styleId="GDAReferentiekop">
    <w:name w:val="GDA Referentiekop"/>
    <w:basedOn w:val="Standaard"/>
    <w:link w:val="GDAReferentiekopChar"/>
    <w:qFormat/>
    <w:rsid w:val="006033D7"/>
    <w:pPr>
      <w:contextualSpacing/>
    </w:pPr>
    <w:rPr>
      <w:rFonts w:eastAsia="Times New Roman"/>
    </w:rPr>
  </w:style>
  <w:style w:type="character" w:customStyle="1" w:styleId="GDAReferentiekopChar">
    <w:name w:val="GDA Referentiekop Char"/>
    <w:basedOn w:val="Standaardalinea-lettertype"/>
    <w:link w:val="GDAReferentiekop"/>
    <w:locked/>
    <w:rsid w:val="006033D7"/>
    <w:rPr>
      <w:rFonts w:ascii="Arial" w:eastAsia="Times New Roman" w:hAnsi="Arial"/>
      <w:sz w:val="20"/>
    </w:rPr>
  </w:style>
  <w:style w:type="paragraph" w:customStyle="1" w:styleId="GDASubreferentiekop">
    <w:name w:val="GDA Subreferentiekop"/>
    <w:basedOn w:val="Standaard"/>
    <w:link w:val="GDASubreferentiekopChar"/>
    <w:qFormat/>
    <w:rsid w:val="006033D7"/>
    <w:pPr>
      <w:snapToGrid w:val="0"/>
      <w:contextualSpacing/>
    </w:pPr>
    <w:rPr>
      <w:rFonts w:eastAsia="Times New Roman"/>
      <w:sz w:val="16"/>
    </w:rPr>
  </w:style>
  <w:style w:type="character" w:customStyle="1" w:styleId="GDASubreferentiekopChar">
    <w:name w:val="GDA Subreferentiekop Char"/>
    <w:basedOn w:val="Standaardalinea-lettertype"/>
    <w:link w:val="GDASubreferentiekop"/>
    <w:locked/>
    <w:rsid w:val="006033D7"/>
    <w:rPr>
      <w:rFonts w:ascii="Arial" w:eastAsia="Times New Roman" w:hAnsi="Arial"/>
      <w:sz w:val="16"/>
    </w:rPr>
  </w:style>
  <w:style w:type="paragraph" w:styleId="Ballontekst">
    <w:name w:val="Balloon Text"/>
    <w:basedOn w:val="Standaard"/>
    <w:link w:val="BallontekstChar"/>
    <w:uiPriority w:val="99"/>
    <w:semiHidden/>
    <w:unhideWhenUsed/>
    <w:rsid w:val="006033D7"/>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3D7"/>
    <w:rPr>
      <w:rFonts w:ascii="Tahoma" w:hAnsi="Tahoma" w:cs="Tahoma"/>
      <w:sz w:val="16"/>
      <w:szCs w:val="16"/>
    </w:rPr>
  </w:style>
  <w:style w:type="paragraph" w:customStyle="1" w:styleId="GDAVoettekstreferentieGeenafstand">
    <w:name w:val="GDA Voettekstreferentie Geen afstand"/>
    <w:link w:val="GDAVoettekstreferentieGeenafstandChar"/>
    <w:qFormat/>
    <w:rsid w:val="006033D7"/>
    <w:pPr>
      <w:spacing w:after="0" w:line="240" w:lineRule="auto"/>
      <w:contextualSpacing/>
    </w:pPr>
    <w:rPr>
      <w:rFonts w:ascii="Arial" w:eastAsia="Times New Roman" w:hAnsi="Arial"/>
      <w:sz w:val="16"/>
    </w:rPr>
  </w:style>
  <w:style w:type="character" w:customStyle="1" w:styleId="GDAVoettekstreferentieGeenafstandChar">
    <w:name w:val="GDA Voettekstreferentie Geen afstand Char"/>
    <w:link w:val="GDAVoettekstreferentieGeenafstand"/>
    <w:locked/>
    <w:rsid w:val="006033D7"/>
    <w:rPr>
      <w:rFonts w:ascii="Arial" w:eastAsia="Times New Roman" w:hAnsi="Arial"/>
      <w:sz w:val="16"/>
    </w:rPr>
  </w:style>
  <w:style w:type="character" w:styleId="Hyperlink">
    <w:name w:val="Hyperlink"/>
    <w:basedOn w:val="Standaardalinea-lettertype"/>
    <w:uiPriority w:val="99"/>
    <w:unhideWhenUsed/>
    <w:rsid w:val="006033D7"/>
    <w:rPr>
      <w:rFonts w:cs="Times New Roman"/>
      <w:color w:val="0000FF" w:themeColor="hyperlink"/>
      <w:u w:val="single"/>
    </w:rPr>
  </w:style>
  <w:style w:type="paragraph" w:customStyle="1" w:styleId="GDAVoettekstpaginanummerafstand">
    <w:name w:val="GDA Voettekst paginanummer afstand"/>
    <w:link w:val="GDAVoettekstpaginanummerafstandChar"/>
    <w:qFormat/>
    <w:rsid w:val="006033D7"/>
    <w:pPr>
      <w:tabs>
        <w:tab w:val="right" w:pos="6039"/>
      </w:tabs>
      <w:spacing w:after="0" w:line="240" w:lineRule="auto"/>
    </w:pPr>
    <w:rPr>
      <w:rFonts w:ascii="Arial" w:eastAsia="Times New Roman" w:hAnsi="Arial"/>
      <w:sz w:val="16"/>
      <w:lang w:eastAsia="ar-SA"/>
    </w:rPr>
  </w:style>
  <w:style w:type="character" w:customStyle="1" w:styleId="GDAVoettekstpaginanummerafstandChar">
    <w:name w:val="GDA Voettekst paginanummer afstand Char"/>
    <w:link w:val="GDAVoettekstpaginanummerafstand"/>
    <w:locked/>
    <w:rsid w:val="006033D7"/>
    <w:rPr>
      <w:rFonts w:ascii="Arial" w:eastAsia="Times New Roman" w:hAnsi="Arial"/>
      <w:sz w:val="16"/>
      <w:lang w:eastAsia="ar-SA"/>
    </w:rPr>
  </w:style>
  <w:style w:type="paragraph" w:styleId="Geenafstand">
    <w:name w:val="No Spacing"/>
    <w:uiPriority w:val="1"/>
    <w:qFormat/>
    <w:rsid w:val="0077614B"/>
    <w:pPr>
      <w:spacing w:after="0" w:line="240" w:lineRule="auto"/>
    </w:pPr>
  </w:style>
  <w:style w:type="character" w:customStyle="1" w:styleId="Kop1Char">
    <w:name w:val="Kop 1 Char"/>
    <w:basedOn w:val="Standaardalinea-lettertype"/>
    <w:link w:val="Kop1"/>
    <w:uiPriority w:val="9"/>
    <w:rsid w:val="00DD02D8"/>
    <w:rPr>
      <w:rFonts w:ascii="Arial" w:eastAsiaTheme="majorEastAsia" w:hAnsi="Arial" w:cstheme="majorBidi"/>
      <w:b/>
      <w:bCs/>
      <w:sz w:val="36"/>
      <w:szCs w:val="28"/>
    </w:rPr>
  </w:style>
  <w:style w:type="character" w:customStyle="1" w:styleId="Kop2Char">
    <w:name w:val="Kop 2 Char"/>
    <w:basedOn w:val="Standaardalinea-lettertype"/>
    <w:link w:val="Kop2"/>
    <w:uiPriority w:val="9"/>
    <w:semiHidden/>
    <w:rsid w:val="00DD02D8"/>
    <w:rPr>
      <w:rFonts w:ascii="Arial" w:eastAsiaTheme="majorEastAsia" w:hAnsi="Arial" w:cstheme="majorBidi"/>
      <w:b/>
      <w:bCs/>
      <w:sz w:val="28"/>
      <w:szCs w:val="26"/>
    </w:rPr>
  </w:style>
  <w:style w:type="character" w:styleId="GevolgdeHyperlink">
    <w:name w:val="FollowedHyperlink"/>
    <w:basedOn w:val="Standaardalinea-lettertype"/>
    <w:uiPriority w:val="99"/>
    <w:semiHidden/>
    <w:unhideWhenUsed/>
    <w:rsid w:val="00051042"/>
    <w:rPr>
      <w:color w:val="800080" w:themeColor="followedHyperlink"/>
      <w:u w:val="single"/>
    </w:rPr>
  </w:style>
  <w:style w:type="paragraph" w:styleId="Titel">
    <w:name w:val="Title"/>
    <w:basedOn w:val="Standaard"/>
    <w:next w:val="Standaard"/>
    <w:link w:val="TitelChar"/>
    <w:uiPriority w:val="10"/>
    <w:qFormat/>
    <w:rsid w:val="00DD02D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itelChar">
    <w:name w:val="Titel Char"/>
    <w:basedOn w:val="Standaardalinea-lettertype"/>
    <w:link w:val="Titel"/>
    <w:uiPriority w:val="10"/>
    <w:rsid w:val="00DD02D8"/>
    <w:rPr>
      <w:rFonts w:ascii="Arial" w:eastAsiaTheme="majorEastAsia" w:hAnsi="Arial" w:cstheme="majorBidi"/>
      <w:b/>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D93B82"/>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D93B82"/>
    <w:rPr>
      <w:rFonts w:ascii="Arial" w:eastAsiaTheme="majorEastAsia" w:hAnsi="Arial" w:cstheme="majorBidi"/>
      <w:i/>
      <w:iCs/>
      <w:color w:val="4F81BD" w:themeColor="accent1"/>
      <w:spacing w:val="15"/>
      <w:sz w:val="24"/>
      <w:szCs w:val="24"/>
    </w:rPr>
  </w:style>
  <w:style w:type="character" w:styleId="Subtielebenadrukking">
    <w:name w:val="Subtle Emphasis"/>
    <w:basedOn w:val="Standaardalinea-lettertype"/>
    <w:uiPriority w:val="19"/>
    <w:qFormat/>
    <w:rsid w:val="00D93B82"/>
    <w:rPr>
      <w:rFonts w:ascii="Arial" w:hAnsi="Arial"/>
      <w:i/>
      <w:iCs/>
      <w:color w:val="808080" w:themeColor="text1" w:themeTint="7F"/>
    </w:rPr>
  </w:style>
  <w:style w:type="character" w:styleId="Intensievebenadrukking">
    <w:name w:val="Intense Emphasis"/>
    <w:basedOn w:val="Standaardalinea-lettertype"/>
    <w:uiPriority w:val="21"/>
    <w:qFormat/>
    <w:rsid w:val="00D93B82"/>
    <w:rPr>
      <w:rFonts w:ascii="Arial" w:hAnsi="Arial"/>
      <w:b/>
      <w:bCs/>
      <w:i/>
      <w:iCs/>
      <w:color w:val="4F81BD" w:themeColor="accent1"/>
    </w:rPr>
  </w:style>
  <w:style w:type="character" w:styleId="Zwaar">
    <w:name w:val="Strong"/>
    <w:basedOn w:val="Standaardalinea-lettertype"/>
    <w:uiPriority w:val="22"/>
    <w:qFormat/>
    <w:rsid w:val="00D93B82"/>
    <w:rPr>
      <w:rFonts w:ascii="Arial" w:hAnsi="Arial"/>
      <w:b/>
      <w:bCs/>
    </w:rPr>
  </w:style>
  <w:style w:type="character" w:styleId="Subtieleverwijzing">
    <w:name w:val="Subtle Reference"/>
    <w:basedOn w:val="Standaardalinea-lettertype"/>
    <w:uiPriority w:val="31"/>
    <w:qFormat/>
    <w:rsid w:val="00D93B82"/>
    <w:rPr>
      <w:rFonts w:ascii="Arial" w:hAnsi="Arial"/>
      <w:smallCaps/>
      <w:color w:val="C0504D" w:themeColor="accent2"/>
      <w:u w:val="single"/>
    </w:rPr>
  </w:style>
  <w:style w:type="character" w:styleId="Intensieveverwijzing">
    <w:name w:val="Intense Reference"/>
    <w:basedOn w:val="Standaardalinea-lettertype"/>
    <w:uiPriority w:val="32"/>
    <w:qFormat/>
    <w:rsid w:val="00D93B82"/>
    <w:rPr>
      <w:rFonts w:ascii="Arial" w:hAnsi="Arial"/>
      <w:b/>
      <w:bCs/>
      <w:smallCaps/>
      <w:color w:val="C0504D" w:themeColor="accent2"/>
      <w:spacing w:val="5"/>
      <w:u w:val="single"/>
    </w:rPr>
  </w:style>
  <w:style w:type="character" w:styleId="Titelvanboek">
    <w:name w:val="Book Title"/>
    <w:basedOn w:val="Standaardalinea-lettertype"/>
    <w:uiPriority w:val="33"/>
    <w:qFormat/>
    <w:rsid w:val="00D93B82"/>
    <w:rPr>
      <w:rFonts w:ascii="Arial" w:hAnsi="Arial"/>
      <w:b/>
      <w:bCs/>
      <w:smallCaps/>
      <w:spacing w:val="5"/>
    </w:rPr>
  </w:style>
  <w:style w:type="paragraph" w:customStyle="1" w:styleId="documenttype">
    <w:name w:val="documenttype"/>
    <w:basedOn w:val="Standaard"/>
    <w:link w:val="documenttypeChar"/>
    <w:qFormat/>
    <w:rsid w:val="00DD02D8"/>
    <w:rPr>
      <w:b/>
      <w:i/>
      <w:sz w:val="36"/>
    </w:rPr>
  </w:style>
  <w:style w:type="character" w:customStyle="1" w:styleId="documenttypeChar">
    <w:name w:val="documenttype Char"/>
    <w:basedOn w:val="Standaardalinea-lettertype"/>
    <w:link w:val="documenttype"/>
    <w:rsid w:val="00DD02D8"/>
    <w:rPr>
      <w:rFonts w:ascii="Arial" w:hAnsi="Arial"/>
      <w:b/>
      <w:i/>
      <w:sz w:val="36"/>
    </w:rPr>
  </w:style>
  <w:style w:type="paragraph" w:customStyle="1" w:styleId="Kop3">
    <w:name w:val="Kop3"/>
    <w:basedOn w:val="Standaard"/>
    <w:link w:val="Kop3Char"/>
    <w:qFormat/>
    <w:rsid w:val="00AA00B6"/>
    <w:pPr>
      <w:keepNext/>
      <w:keepLines/>
    </w:pPr>
    <w:rPr>
      <w:b/>
    </w:rPr>
  </w:style>
  <w:style w:type="character" w:customStyle="1" w:styleId="Kop3Char">
    <w:name w:val="Kop3 Char"/>
    <w:basedOn w:val="Standaardalinea-lettertype"/>
    <w:link w:val="Kop3"/>
    <w:rsid w:val="00AA00B6"/>
    <w:rPr>
      <w:rFonts w:ascii="Arial" w:hAnsi="Arial"/>
      <w:b/>
      <w:sz w:val="20"/>
    </w:rPr>
  </w:style>
  <w:style w:type="paragraph" w:styleId="Normaalweb">
    <w:name w:val="Normal (Web)"/>
    <w:basedOn w:val="Standaard"/>
    <w:uiPriority w:val="99"/>
    <w:semiHidden/>
    <w:unhideWhenUsed/>
    <w:rsid w:val="006E067E"/>
    <w:pPr>
      <w:spacing w:before="100" w:beforeAutospacing="1" w:after="100" w:afterAutospacing="1"/>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5209BF"/>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125F8"/>
    <w:rPr>
      <w:sz w:val="16"/>
      <w:szCs w:val="16"/>
    </w:rPr>
  </w:style>
  <w:style w:type="paragraph" w:styleId="Tekstopmerking">
    <w:name w:val="annotation text"/>
    <w:basedOn w:val="Standaard"/>
    <w:link w:val="TekstopmerkingChar"/>
    <w:uiPriority w:val="99"/>
    <w:semiHidden/>
    <w:unhideWhenUsed/>
    <w:rsid w:val="000125F8"/>
    <w:rPr>
      <w:szCs w:val="20"/>
    </w:rPr>
  </w:style>
  <w:style w:type="character" w:customStyle="1" w:styleId="TekstopmerkingChar">
    <w:name w:val="Tekst opmerking Char"/>
    <w:basedOn w:val="Standaardalinea-lettertype"/>
    <w:link w:val="Tekstopmerking"/>
    <w:uiPriority w:val="99"/>
    <w:semiHidden/>
    <w:rsid w:val="000125F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125F8"/>
    <w:rPr>
      <w:b/>
      <w:bCs/>
    </w:rPr>
  </w:style>
  <w:style w:type="character" w:customStyle="1" w:styleId="OnderwerpvanopmerkingChar">
    <w:name w:val="Onderwerp van opmerking Char"/>
    <w:basedOn w:val="TekstopmerkingChar"/>
    <w:link w:val="Onderwerpvanopmerking"/>
    <w:uiPriority w:val="99"/>
    <w:semiHidden/>
    <w:rsid w:val="000125F8"/>
    <w:rPr>
      <w:rFonts w:ascii="Arial" w:hAnsi="Arial"/>
      <w:b/>
      <w:bCs/>
      <w:sz w:val="20"/>
      <w:szCs w:val="20"/>
    </w:rPr>
  </w:style>
  <w:style w:type="paragraph" w:styleId="Lijstalinea">
    <w:name w:val="List Paragraph"/>
    <w:basedOn w:val="Standaard"/>
    <w:uiPriority w:val="34"/>
    <w:qFormat/>
    <w:rsid w:val="00921446"/>
    <w:pPr>
      <w:ind w:left="720"/>
      <w:contextualSpacing/>
    </w:pPr>
  </w:style>
  <w:style w:type="paragraph" w:styleId="Voetnoottekst">
    <w:name w:val="footnote text"/>
    <w:basedOn w:val="Standaard"/>
    <w:link w:val="VoetnoottekstChar"/>
    <w:uiPriority w:val="99"/>
    <w:semiHidden/>
    <w:unhideWhenUsed/>
    <w:rsid w:val="00921446"/>
    <w:rPr>
      <w:rFonts w:eastAsia="Times New Roman" w:cs="Times New Roman"/>
      <w:szCs w:val="20"/>
      <w:lang w:eastAsia="nl-NL"/>
    </w:rPr>
  </w:style>
  <w:style w:type="character" w:customStyle="1" w:styleId="VoetnoottekstChar">
    <w:name w:val="Voetnoottekst Char"/>
    <w:basedOn w:val="Standaardalinea-lettertype"/>
    <w:link w:val="Voetnoottekst"/>
    <w:uiPriority w:val="99"/>
    <w:semiHidden/>
    <w:rsid w:val="00921446"/>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921446"/>
    <w:rPr>
      <w:vertAlign w:val="superscript"/>
    </w:rPr>
  </w:style>
  <w:style w:type="paragraph" w:customStyle="1" w:styleId="Standaardingesprongen">
    <w:name w:val="Standaard ingesprongen"/>
    <w:basedOn w:val="Standaard"/>
    <w:link w:val="StandaardingesprongenChar"/>
    <w:qFormat/>
    <w:rsid w:val="00451B70"/>
    <w:pPr>
      <w:ind w:left="851"/>
    </w:pPr>
    <w:rPr>
      <w:rFonts w:eastAsia="Times New Roman" w:cs="Times New Roman"/>
      <w:szCs w:val="20"/>
      <w:lang w:eastAsia="nl-NL"/>
    </w:rPr>
  </w:style>
  <w:style w:type="character" w:customStyle="1" w:styleId="StandaardingesprongenChar">
    <w:name w:val="Standaard ingesprongen Char"/>
    <w:basedOn w:val="Standaardalinea-lettertype"/>
    <w:link w:val="Standaardingesprongen"/>
    <w:rsid w:val="00451B70"/>
    <w:rPr>
      <w:rFonts w:ascii="Arial" w:eastAsia="Times New Roman" w:hAnsi="Arial" w:cs="Times New Roman"/>
      <w:sz w:val="20"/>
      <w:szCs w:val="20"/>
      <w:lang w:eastAsia="nl-NL"/>
    </w:rPr>
  </w:style>
  <w:style w:type="table" w:customStyle="1" w:styleId="Tabelraster1">
    <w:name w:val="Tabelraster1"/>
    <w:basedOn w:val="Standaardtabel"/>
    <w:next w:val="Tabelraster"/>
    <w:uiPriority w:val="59"/>
    <w:rsid w:val="00580C61"/>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Bijkerk, C.</dc:creator>
  <cp:lastModifiedBy>Bob Lodder</cp:lastModifiedBy>
  <cp:revision>2</cp:revision>
  <dcterms:created xsi:type="dcterms:W3CDTF">2024-06-12T10:36:00Z</dcterms:created>
  <dcterms:modified xsi:type="dcterms:W3CDTF">2024-06-12T10:36:00Z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ersoort">
    <vt:lpwstr>4</vt:lpwstr>
  </property>
</Properties>
</file>